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8AAE14">
      <w:pPr>
        <w:spacing w:before="101" w:line="224" w:lineRule="auto"/>
        <w:ind w:firstLine="3520" w:firstLineChars="1100"/>
        <w:outlineLvl w:val="0"/>
        <w:rPr>
          <w:rFonts w:ascii="宋体" w:hAnsi="宋体" w:eastAsia="宋体" w:cs="宋体"/>
          <w:sz w:val="31"/>
          <w:szCs w:val="31"/>
        </w:rPr>
      </w:pPr>
      <w:r>
        <w:rPr>
          <w:rFonts w:ascii="宋体" w:hAnsi="宋体" w:eastAsia="宋体" w:cs="宋体"/>
          <w:spacing w:val="5"/>
          <w:sz w:val="31"/>
          <w:szCs w:val="31"/>
        </w:rPr>
        <w:t xml:space="preserve"> </w:t>
      </w:r>
      <w:r>
        <w:rPr>
          <w:rFonts w:ascii="宋体" w:hAnsi="宋体" w:eastAsia="宋体" w:cs="宋体"/>
          <w:b/>
          <w:bCs/>
          <w:spacing w:val="5"/>
          <w:sz w:val="31"/>
          <w:szCs w:val="31"/>
        </w:rPr>
        <w:t>采购需求</w:t>
      </w:r>
    </w:p>
    <w:p w14:paraId="312E4E30">
      <w:pPr>
        <w:pStyle w:val="3"/>
        <w:spacing w:line="246" w:lineRule="auto"/>
      </w:pPr>
    </w:p>
    <w:p w14:paraId="2A6671C8">
      <w:pPr>
        <w:pStyle w:val="3"/>
        <w:spacing w:line="246" w:lineRule="auto"/>
      </w:pPr>
    </w:p>
    <w:p w14:paraId="319D7C5C">
      <w:pPr>
        <w:spacing w:before="65" w:line="228" w:lineRule="auto"/>
        <w:ind w:left="3"/>
        <w:rPr>
          <w:rFonts w:ascii="宋体" w:hAnsi="宋体" w:eastAsia="宋体" w:cs="宋体"/>
          <w:sz w:val="20"/>
          <w:szCs w:val="20"/>
        </w:rPr>
      </w:pPr>
      <w:r>
        <w:rPr>
          <w:rFonts w:ascii="宋体" w:hAnsi="宋体" w:eastAsia="宋体" w:cs="宋体"/>
          <w:spacing w:val="2"/>
          <w:sz w:val="20"/>
          <w:szCs w:val="20"/>
        </w:rPr>
        <w:t>说明：</w:t>
      </w:r>
    </w:p>
    <w:p w14:paraId="44900E5B">
      <w:pPr>
        <w:spacing w:before="2" w:line="431" w:lineRule="auto"/>
        <w:ind w:right="2" w:firstLine="424"/>
        <w:rPr>
          <w:rFonts w:ascii="新宋体" w:hAnsi="新宋体" w:eastAsia="新宋体" w:cs="新宋体"/>
          <w:sz w:val="20"/>
          <w:szCs w:val="20"/>
        </w:rPr>
      </w:pPr>
      <w:r>
        <w:rPr>
          <w:rFonts w:hint="eastAsia" w:ascii="新宋体" w:hAnsi="新宋体" w:eastAsia="新宋体" w:cs="新宋体"/>
          <w:spacing w:val="7"/>
          <w:sz w:val="20"/>
          <w:szCs w:val="20"/>
          <w:lang w:val="en-US" w:eastAsia="zh-CN"/>
        </w:rPr>
        <w:t>1</w:t>
      </w:r>
      <w:r>
        <w:rPr>
          <w:rFonts w:ascii="新宋体" w:hAnsi="新宋体" w:eastAsia="新宋体" w:cs="新宋体"/>
          <w:spacing w:val="7"/>
          <w:sz w:val="20"/>
          <w:szCs w:val="20"/>
        </w:rPr>
        <w:t>.“实质性要求</w:t>
      </w:r>
      <w:r>
        <w:rPr>
          <w:rFonts w:ascii="新宋体" w:hAnsi="新宋体" w:eastAsia="新宋体" w:cs="新宋体"/>
          <w:spacing w:val="-65"/>
          <w:sz w:val="20"/>
          <w:szCs w:val="20"/>
        </w:rPr>
        <w:t xml:space="preserve"> </w:t>
      </w:r>
      <w:r>
        <w:rPr>
          <w:rFonts w:ascii="新宋体" w:hAnsi="新宋体" w:eastAsia="新宋体" w:cs="新宋体"/>
          <w:spacing w:val="7"/>
          <w:sz w:val="20"/>
          <w:szCs w:val="20"/>
        </w:rPr>
        <w:t>”是指采购需求中带“▲</w:t>
      </w:r>
      <w:r>
        <w:rPr>
          <w:rFonts w:ascii="新宋体" w:hAnsi="新宋体" w:eastAsia="新宋体" w:cs="新宋体"/>
          <w:spacing w:val="-70"/>
          <w:sz w:val="20"/>
          <w:szCs w:val="20"/>
        </w:rPr>
        <w:t xml:space="preserve"> </w:t>
      </w:r>
      <w:r>
        <w:rPr>
          <w:rFonts w:ascii="新宋体" w:hAnsi="新宋体" w:eastAsia="新宋体" w:cs="新宋体"/>
          <w:spacing w:val="7"/>
          <w:sz w:val="20"/>
          <w:szCs w:val="20"/>
        </w:rPr>
        <w:t>”的条款或者不能负偏离的条款或者已经指明不满足按响</w:t>
      </w:r>
      <w:r>
        <w:rPr>
          <w:rFonts w:ascii="新宋体" w:hAnsi="新宋体" w:eastAsia="新宋体" w:cs="新宋体"/>
          <w:spacing w:val="8"/>
          <w:sz w:val="20"/>
          <w:szCs w:val="20"/>
        </w:rPr>
        <w:t>应文件作无效处理的条款。</w:t>
      </w:r>
    </w:p>
    <w:p w14:paraId="3E9F22ED">
      <w:pPr>
        <w:spacing w:before="2" w:line="431" w:lineRule="auto"/>
        <w:ind w:firstLine="426"/>
        <w:rPr>
          <w:rFonts w:ascii="新宋体" w:hAnsi="新宋体" w:eastAsia="新宋体" w:cs="新宋体"/>
          <w:sz w:val="20"/>
          <w:szCs w:val="20"/>
        </w:rPr>
      </w:pPr>
      <w:r>
        <w:rPr>
          <w:rFonts w:hint="eastAsia" w:ascii="新宋体" w:hAnsi="新宋体" w:eastAsia="新宋体" w:cs="新宋体"/>
          <w:spacing w:val="9"/>
          <w:sz w:val="20"/>
          <w:szCs w:val="20"/>
          <w:lang w:val="en-US" w:eastAsia="zh-CN"/>
        </w:rPr>
        <w:t>2</w:t>
      </w:r>
      <w:r>
        <w:rPr>
          <w:rFonts w:ascii="新宋体" w:hAnsi="新宋体" w:eastAsia="新宋体" w:cs="新宋体"/>
          <w:spacing w:val="9"/>
          <w:sz w:val="20"/>
          <w:szCs w:val="20"/>
        </w:rPr>
        <w:t>.采购需求中出现的品牌、型号或者生产供应商</w:t>
      </w:r>
      <w:r>
        <w:rPr>
          <w:rFonts w:ascii="新宋体" w:hAnsi="新宋体" w:eastAsia="新宋体" w:cs="新宋体"/>
          <w:spacing w:val="8"/>
          <w:sz w:val="20"/>
          <w:szCs w:val="20"/>
        </w:rPr>
        <w:t>仅起参考作用，不属于指定品牌、型号或者生产供</w:t>
      </w:r>
      <w:r>
        <w:rPr>
          <w:rFonts w:ascii="新宋体" w:hAnsi="新宋体" w:eastAsia="新宋体" w:cs="新宋体"/>
          <w:spacing w:val="9"/>
          <w:sz w:val="20"/>
          <w:szCs w:val="20"/>
        </w:rPr>
        <w:t>应商的情形。供应商可参照或者选用其他相当的品牌、型号或者生产供应商替代。</w:t>
      </w:r>
    </w:p>
    <w:p w14:paraId="59B8BCBC">
      <w:pPr>
        <w:spacing w:before="2" w:line="431" w:lineRule="auto"/>
        <w:ind w:left="4" w:right="2" w:firstLine="418"/>
        <w:rPr>
          <w:rFonts w:ascii="新宋体" w:hAnsi="新宋体" w:eastAsia="新宋体" w:cs="新宋体"/>
          <w:spacing w:val="9"/>
          <w:sz w:val="20"/>
          <w:szCs w:val="20"/>
        </w:rPr>
      </w:pPr>
      <w:r>
        <w:rPr>
          <w:rFonts w:hint="eastAsia" w:ascii="新宋体" w:hAnsi="新宋体" w:eastAsia="新宋体" w:cs="新宋体"/>
          <w:spacing w:val="9"/>
          <w:sz w:val="20"/>
          <w:szCs w:val="20"/>
          <w:lang w:val="en-US" w:eastAsia="zh-CN"/>
        </w:rPr>
        <w:t>3</w:t>
      </w:r>
      <w:r>
        <w:rPr>
          <w:rFonts w:ascii="新宋体" w:hAnsi="新宋体" w:eastAsia="新宋体" w:cs="新宋体"/>
          <w:spacing w:val="9"/>
          <w:sz w:val="20"/>
          <w:szCs w:val="20"/>
        </w:rPr>
        <w:t>.供应商应根据自身实际情况如实响应竞争性磋商文件</w:t>
      </w:r>
      <w:r>
        <w:rPr>
          <w:rFonts w:ascii="新宋体" w:hAnsi="新宋体" w:eastAsia="新宋体" w:cs="新宋体"/>
          <w:spacing w:val="8"/>
          <w:sz w:val="20"/>
          <w:szCs w:val="20"/>
        </w:rPr>
        <w:t>，不得仅将竞争性磋商文件内容简单复制粘</w:t>
      </w:r>
      <w:r>
        <w:rPr>
          <w:rFonts w:ascii="新宋体" w:hAnsi="新宋体" w:eastAsia="新宋体" w:cs="新宋体"/>
          <w:spacing w:val="9"/>
          <w:sz w:val="20"/>
          <w:szCs w:val="20"/>
        </w:rPr>
        <w:t>贴作为竞标响应，还应当按照竞争性磋商文件中规定提供相关证明材料，否则将作无效响应处理。</w:t>
      </w:r>
    </w:p>
    <w:p w14:paraId="3AF515A7">
      <w:pPr>
        <w:tabs>
          <w:tab w:val="left" w:pos="2246"/>
        </w:tabs>
        <w:bidi w:val="0"/>
        <w:jc w:val="left"/>
        <w:rPr>
          <w:rFonts w:hint="eastAsia" w:eastAsia="宋体"/>
          <w:lang w:val="en-US" w:eastAsia="zh-CN"/>
        </w:rPr>
        <w:sectPr>
          <w:footerReference r:id="rId5" w:type="default"/>
          <w:pgSz w:w="11906" w:h="16839"/>
          <w:pgMar w:top="1431" w:right="1247" w:bottom="1012" w:left="1255" w:header="0" w:footer="850" w:gutter="0"/>
          <w:pgNumType w:fmt="decimal"/>
          <w:cols w:space="720" w:num="1"/>
        </w:sectPr>
      </w:pPr>
    </w:p>
    <w:p w14:paraId="45C66575">
      <w:pPr>
        <w:spacing w:before="219"/>
      </w:pPr>
    </w:p>
    <w:tbl>
      <w:tblPr>
        <w:tblStyle w:val="9"/>
        <w:tblW w:w="5003" w:type="pct"/>
        <w:jc w:val="center"/>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autofit"/>
        <w:tblCellMar>
          <w:top w:w="0" w:type="dxa"/>
          <w:left w:w="0" w:type="dxa"/>
          <w:bottom w:w="0" w:type="dxa"/>
          <w:right w:w="0" w:type="dxa"/>
        </w:tblCellMar>
      </w:tblPr>
      <w:tblGrid>
        <w:gridCol w:w="348"/>
        <w:gridCol w:w="1428"/>
        <w:gridCol w:w="416"/>
        <w:gridCol w:w="7188"/>
      </w:tblGrid>
      <w:tr w14:paraId="5F54B3C5">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0" w:hRule="atLeast"/>
          <w:jc w:val="center"/>
        </w:trPr>
        <w:tc>
          <w:tcPr>
            <w:tcW w:w="5000" w:type="pct"/>
            <w:gridSpan w:val="4"/>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top"/>
          </w:tcPr>
          <w:p w14:paraId="6C7DB852">
            <w:pPr>
              <w:pStyle w:val="8"/>
              <w:snapToGrid w:val="0"/>
              <w:spacing w:before="192" w:line="228" w:lineRule="auto"/>
              <w:ind w:left="120"/>
            </w:pPr>
            <w:r>
              <w:rPr>
                <w:b/>
                <w:bCs/>
                <w:spacing w:val="6"/>
              </w:rPr>
              <w:t>一、技术条款</w:t>
            </w:r>
          </w:p>
        </w:tc>
      </w:tr>
      <w:tr w14:paraId="4F173994">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0" w:hRule="atLeast"/>
          <w:jc w:val="center"/>
        </w:trPr>
        <w:tc>
          <w:tcPr>
            <w:tcW w:w="183" w:type="pct"/>
            <w:tcBorders>
              <w:top w:val="single" w:color="auto" w:sz="4" w:space="0"/>
              <w:left w:val="single" w:color="auto" w:sz="4" w:space="0"/>
              <w:bottom w:val="nil"/>
              <w:right w:val="nil"/>
            </w:tcBorders>
            <w:noWrap w:val="0"/>
            <w:tcMar>
              <w:top w:w="-1" w:type="dxa"/>
              <w:left w:w="-1" w:type="dxa"/>
              <w:bottom w:w="-1" w:type="dxa"/>
              <w:right w:w="-1" w:type="dxa"/>
            </w:tcMar>
            <w:textDirection w:val="tbRlV"/>
            <w:vAlign w:val="top"/>
          </w:tcPr>
          <w:p w14:paraId="22ABD42D">
            <w:pPr>
              <w:pStyle w:val="8"/>
              <w:snapToGrid w:val="0"/>
              <w:spacing w:before="163" w:line="218" w:lineRule="auto"/>
              <w:ind w:left="186"/>
              <w:outlineLvl w:val="0"/>
            </w:pPr>
            <w:r>
              <w:rPr>
                <w:spacing w:val="8"/>
              </w:rPr>
              <w:t>序</w:t>
            </w:r>
            <w:r>
              <w:rPr>
                <w:spacing w:val="29"/>
              </w:rPr>
              <w:t xml:space="preserve">  </w:t>
            </w:r>
            <w:r>
              <w:rPr>
                <w:spacing w:val="8"/>
              </w:rPr>
              <w:t>号</w:t>
            </w:r>
          </w:p>
        </w:tc>
        <w:tc>
          <w:tcPr>
            <w:tcW w:w="762" w:type="pct"/>
            <w:tcBorders>
              <w:top w:val="single" w:color="auto" w:sz="4" w:space="0"/>
              <w:left w:val="single" w:color="auto" w:sz="4" w:space="0"/>
              <w:bottom w:val="nil"/>
              <w:right w:val="nil"/>
            </w:tcBorders>
            <w:noWrap w:val="0"/>
            <w:tcMar>
              <w:top w:w="-1" w:type="dxa"/>
              <w:left w:w="-1" w:type="dxa"/>
              <w:bottom w:w="-1" w:type="dxa"/>
              <w:right w:w="-1" w:type="dxa"/>
            </w:tcMar>
            <w:vAlign w:val="top"/>
          </w:tcPr>
          <w:p w14:paraId="661EBF19">
            <w:pPr>
              <w:snapToGrid w:val="0"/>
              <w:spacing w:line="354" w:lineRule="auto"/>
              <w:rPr>
                <w:rFonts w:ascii="Arial"/>
                <w:sz w:val="21"/>
              </w:rPr>
            </w:pPr>
          </w:p>
          <w:p w14:paraId="3E236B55">
            <w:pPr>
              <w:pStyle w:val="8"/>
              <w:snapToGrid w:val="0"/>
              <w:spacing w:before="65" w:line="228" w:lineRule="auto"/>
              <w:ind w:left="129"/>
              <w:outlineLvl w:val="0"/>
            </w:pPr>
            <w:r>
              <w:rPr>
                <w:spacing w:val="7"/>
              </w:rPr>
              <w:t>服务名称</w:t>
            </w:r>
          </w:p>
        </w:tc>
        <w:tc>
          <w:tcPr>
            <w:tcW w:w="223" w:type="pct"/>
            <w:tcBorders>
              <w:top w:val="single" w:color="auto" w:sz="4" w:space="0"/>
              <w:left w:val="single" w:color="auto" w:sz="4" w:space="0"/>
              <w:bottom w:val="nil"/>
              <w:right w:val="nil"/>
            </w:tcBorders>
            <w:noWrap w:val="0"/>
            <w:tcMar>
              <w:top w:w="-1" w:type="dxa"/>
              <w:left w:w="-1" w:type="dxa"/>
              <w:bottom w:w="-1" w:type="dxa"/>
              <w:right w:w="-1" w:type="dxa"/>
            </w:tcMar>
            <w:vAlign w:val="top"/>
          </w:tcPr>
          <w:p w14:paraId="2BA318EE">
            <w:pPr>
              <w:snapToGrid w:val="0"/>
              <w:spacing w:line="354" w:lineRule="auto"/>
              <w:rPr>
                <w:rFonts w:ascii="Arial"/>
                <w:sz w:val="21"/>
              </w:rPr>
            </w:pPr>
          </w:p>
          <w:p w14:paraId="57192063">
            <w:pPr>
              <w:pStyle w:val="8"/>
              <w:snapToGrid w:val="0"/>
              <w:spacing w:before="65" w:line="228" w:lineRule="auto"/>
              <w:ind w:left="145"/>
              <w:outlineLvl w:val="0"/>
            </w:pPr>
            <w:r>
              <w:rPr>
                <w:spacing w:val="3"/>
              </w:rPr>
              <w:t>数量</w:t>
            </w:r>
          </w:p>
        </w:tc>
        <w:tc>
          <w:tcPr>
            <w:tcW w:w="3830"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top"/>
          </w:tcPr>
          <w:p w14:paraId="0C796401">
            <w:pPr>
              <w:snapToGrid w:val="0"/>
              <w:spacing w:line="354" w:lineRule="auto"/>
              <w:rPr>
                <w:rFonts w:ascii="Arial"/>
                <w:sz w:val="21"/>
              </w:rPr>
            </w:pPr>
          </w:p>
          <w:p w14:paraId="537D28DB">
            <w:pPr>
              <w:pStyle w:val="8"/>
              <w:snapToGrid w:val="0"/>
              <w:spacing w:before="65" w:line="228" w:lineRule="auto"/>
              <w:ind w:left="2784"/>
              <w:outlineLvl w:val="0"/>
            </w:pPr>
            <w:r>
              <w:rPr>
                <w:spacing w:val="8"/>
              </w:rPr>
              <w:t>服务内容和要求</w:t>
            </w:r>
          </w:p>
        </w:tc>
      </w:tr>
      <w:tr w14:paraId="4900C5AE">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0" w:hRule="atLeast"/>
          <w:jc w:val="center"/>
        </w:trPr>
        <w:tc>
          <w:tcPr>
            <w:tcW w:w="183"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top"/>
          </w:tcPr>
          <w:p w14:paraId="28A0A2FD">
            <w:pPr>
              <w:snapToGrid w:val="0"/>
              <w:spacing w:line="247" w:lineRule="auto"/>
              <w:rPr>
                <w:rFonts w:ascii="Arial"/>
                <w:sz w:val="21"/>
              </w:rPr>
            </w:pPr>
          </w:p>
          <w:p w14:paraId="62FE645C">
            <w:pPr>
              <w:snapToGrid w:val="0"/>
              <w:spacing w:line="248" w:lineRule="auto"/>
              <w:rPr>
                <w:rFonts w:ascii="Arial"/>
                <w:sz w:val="21"/>
              </w:rPr>
            </w:pPr>
          </w:p>
          <w:p w14:paraId="5185F412">
            <w:pPr>
              <w:snapToGrid w:val="0"/>
              <w:spacing w:line="248" w:lineRule="auto"/>
              <w:rPr>
                <w:rFonts w:ascii="Arial"/>
                <w:sz w:val="21"/>
              </w:rPr>
            </w:pPr>
          </w:p>
          <w:p w14:paraId="12317608">
            <w:pPr>
              <w:snapToGrid w:val="0"/>
              <w:spacing w:line="248" w:lineRule="auto"/>
              <w:rPr>
                <w:rFonts w:ascii="Arial"/>
                <w:sz w:val="21"/>
              </w:rPr>
            </w:pPr>
          </w:p>
          <w:p w14:paraId="22F5B8FE">
            <w:pPr>
              <w:snapToGrid w:val="0"/>
              <w:spacing w:line="248" w:lineRule="auto"/>
              <w:rPr>
                <w:rFonts w:ascii="Arial"/>
                <w:sz w:val="21"/>
              </w:rPr>
            </w:pPr>
          </w:p>
          <w:p w14:paraId="14DBB354">
            <w:pPr>
              <w:snapToGrid w:val="0"/>
              <w:spacing w:line="248" w:lineRule="auto"/>
              <w:rPr>
                <w:rFonts w:ascii="Arial"/>
                <w:sz w:val="21"/>
              </w:rPr>
            </w:pPr>
          </w:p>
          <w:p w14:paraId="2A19A3DE">
            <w:pPr>
              <w:snapToGrid w:val="0"/>
              <w:spacing w:line="248" w:lineRule="auto"/>
              <w:rPr>
                <w:rFonts w:ascii="Arial"/>
                <w:sz w:val="21"/>
              </w:rPr>
            </w:pPr>
          </w:p>
          <w:p w14:paraId="6A57BF2C">
            <w:pPr>
              <w:snapToGrid w:val="0"/>
              <w:spacing w:line="248" w:lineRule="auto"/>
              <w:rPr>
                <w:rFonts w:ascii="Arial"/>
                <w:sz w:val="21"/>
              </w:rPr>
            </w:pPr>
          </w:p>
          <w:p w14:paraId="6175CA26">
            <w:pPr>
              <w:snapToGrid w:val="0"/>
              <w:spacing w:line="248" w:lineRule="auto"/>
              <w:rPr>
                <w:rFonts w:ascii="Arial"/>
                <w:sz w:val="21"/>
              </w:rPr>
            </w:pPr>
          </w:p>
          <w:p w14:paraId="691BBEB8">
            <w:pPr>
              <w:snapToGrid w:val="0"/>
              <w:spacing w:line="248" w:lineRule="auto"/>
              <w:rPr>
                <w:rFonts w:ascii="Arial"/>
                <w:sz w:val="21"/>
              </w:rPr>
            </w:pPr>
          </w:p>
          <w:p w14:paraId="49C9C74F">
            <w:pPr>
              <w:snapToGrid w:val="0"/>
              <w:spacing w:line="248" w:lineRule="auto"/>
              <w:rPr>
                <w:rFonts w:ascii="Arial"/>
                <w:sz w:val="21"/>
              </w:rPr>
            </w:pPr>
          </w:p>
          <w:p w14:paraId="7A2CAA0C">
            <w:pPr>
              <w:snapToGrid w:val="0"/>
              <w:spacing w:line="248" w:lineRule="auto"/>
              <w:rPr>
                <w:rFonts w:ascii="Arial"/>
                <w:sz w:val="21"/>
              </w:rPr>
            </w:pPr>
          </w:p>
          <w:p w14:paraId="72B12829">
            <w:pPr>
              <w:snapToGrid w:val="0"/>
              <w:spacing w:line="248" w:lineRule="auto"/>
              <w:rPr>
                <w:rFonts w:ascii="Arial"/>
                <w:sz w:val="21"/>
              </w:rPr>
            </w:pPr>
          </w:p>
          <w:p w14:paraId="027C08E4">
            <w:pPr>
              <w:snapToGrid w:val="0"/>
              <w:spacing w:line="248" w:lineRule="auto"/>
              <w:rPr>
                <w:rFonts w:ascii="Arial"/>
                <w:sz w:val="21"/>
              </w:rPr>
            </w:pPr>
          </w:p>
          <w:p w14:paraId="41BCE5EC">
            <w:pPr>
              <w:snapToGrid w:val="0"/>
              <w:spacing w:line="248" w:lineRule="auto"/>
              <w:rPr>
                <w:rFonts w:ascii="Arial"/>
                <w:sz w:val="21"/>
              </w:rPr>
            </w:pPr>
          </w:p>
          <w:p w14:paraId="0AF2BFC7">
            <w:pPr>
              <w:snapToGrid w:val="0"/>
              <w:spacing w:line="248" w:lineRule="auto"/>
              <w:rPr>
                <w:rFonts w:ascii="Arial"/>
                <w:sz w:val="21"/>
              </w:rPr>
            </w:pPr>
          </w:p>
          <w:p w14:paraId="6EAE9D10">
            <w:pPr>
              <w:snapToGrid w:val="0"/>
              <w:spacing w:line="248" w:lineRule="auto"/>
              <w:rPr>
                <w:rFonts w:ascii="Arial"/>
                <w:sz w:val="21"/>
              </w:rPr>
            </w:pPr>
          </w:p>
          <w:p w14:paraId="654B1F45">
            <w:pPr>
              <w:snapToGrid w:val="0"/>
              <w:spacing w:line="248" w:lineRule="auto"/>
              <w:rPr>
                <w:rFonts w:ascii="Arial"/>
                <w:sz w:val="21"/>
              </w:rPr>
            </w:pPr>
          </w:p>
          <w:p w14:paraId="721B58DD">
            <w:pPr>
              <w:snapToGrid w:val="0"/>
              <w:spacing w:line="248" w:lineRule="auto"/>
              <w:rPr>
                <w:rFonts w:ascii="Arial"/>
                <w:sz w:val="21"/>
              </w:rPr>
            </w:pPr>
          </w:p>
          <w:p w14:paraId="415BFB20">
            <w:pPr>
              <w:snapToGrid w:val="0"/>
              <w:spacing w:line="248" w:lineRule="auto"/>
              <w:rPr>
                <w:rFonts w:ascii="Arial"/>
                <w:sz w:val="21"/>
              </w:rPr>
            </w:pPr>
          </w:p>
          <w:p w14:paraId="3A19DD1E">
            <w:pPr>
              <w:snapToGrid w:val="0"/>
              <w:spacing w:line="248" w:lineRule="auto"/>
              <w:rPr>
                <w:rFonts w:ascii="Arial"/>
                <w:sz w:val="21"/>
              </w:rPr>
            </w:pPr>
          </w:p>
          <w:p w14:paraId="63FFD869">
            <w:pPr>
              <w:snapToGrid w:val="0"/>
              <w:spacing w:line="248" w:lineRule="auto"/>
              <w:rPr>
                <w:rFonts w:ascii="Arial"/>
                <w:sz w:val="21"/>
              </w:rPr>
            </w:pPr>
          </w:p>
          <w:p w14:paraId="6E8DE70A">
            <w:pPr>
              <w:snapToGrid w:val="0"/>
              <w:spacing w:line="248" w:lineRule="auto"/>
              <w:rPr>
                <w:rFonts w:ascii="Arial"/>
                <w:sz w:val="21"/>
              </w:rPr>
            </w:pPr>
          </w:p>
          <w:p w14:paraId="4BEE2EF8">
            <w:pPr>
              <w:pStyle w:val="8"/>
              <w:snapToGrid w:val="0"/>
              <w:spacing w:before="65" w:line="270" w:lineRule="exact"/>
              <w:ind w:left="238"/>
            </w:pPr>
            <w:r>
              <w:rPr>
                <w:position w:val="1"/>
              </w:rPr>
              <w:t>1</w:t>
            </w:r>
          </w:p>
        </w:tc>
        <w:tc>
          <w:tcPr>
            <w:tcW w:w="762"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top"/>
          </w:tcPr>
          <w:p w14:paraId="301EC7EE">
            <w:pPr>
              <w:snapToGrid w:val="0"/>
              <w:spacing w:line="249" w:lineRule="auto"/>
              <w:rPr>
                <w:rFonts w:ascii="Arial"/>
                <w:sz w:val="21"/>
              </w:rPr>
            </w:pPr>
          </w:p>
          <w:p w14:paraId="3C5B0A18">
            <w:pPr>
              <w:snapToGrid w:val="0"/>
              <w:spacing w:line="249" w:lineRule="auto"/>
              <w:rPr>
                <w:rFonts w:ascii="Arial"/>
                <w:sz w:val="21"/>
              </w:rPr>
            </w:pPr>
          </w:p>
          <w:p w14:paraId="2F288B02">
            <w:pPr>
              <w:snapToGrid w:val="0"/>
              <w:spacing w:line="249" w:lineRule="auto"/>
              <w:rPr>
                <w:rFonts w:ascii="Arial"/>
                <w:sz w:val="21"/>
              </w:rPr>
            </w:pPr>
          </w:p>
          <w:p w14:paraId="718FCBD9">
            <w:pPr>
              <w:snapToGrid w:val="0"/>
              <w:spacing w:line="249" w:lineRule="auto"/>
              <w:rPr>
                <w:rFonts w:ascii="Arial"/>
                <w:sz w:val="21"/>
              </w:rPr>
            </w:pPr>
          </w:p>
          <w:p w14:paraId="742A3787">
            <w:pPr>
              <w:snapToGrid w:val="0"/>
              <w:spacing w:line="249" w:lineRule="auto"/>
              <w:rPr>
                <w:rFonts w:ascii="Arial"/>
                <w:sz w:val="21"/>
              </w:rPr>
            </w:pPr>
          </w:p>
          <w:p w14:paraId="0F0C06B4">
            <w:pPr>
              <w:snapToGrid w:val="0"/>
              <w:spacing w:line="249" w:lineRule="auto"/>
              <w:rPr>
                <w:rFonts w:ascii="Arial"/>
                <w:sz w:val="21"/>
              </w:rPr>
            </w:pPr>
          </w:p>
          <w:p w14:paraId="40F9FF57">
            <w:pPr>
              <w:snapToGrid w:val="0"/>
              <w:spacing w:line="249" w:lineRule="auto"/>
              <w:rPr>
                <w:rFonts w:ascii="Arial"/>
                <w:sz w:val="21"/>
              </w:rPr>
            </w:pPr>
          </w:p>
          <w:p w14:paraId="3D9B1B03">
            <w:pPr>
              <w:snapToGrid w:val="0"/>
              <w:spacing w:line="249" w:lineRule="auto"/>
              <w:rPr>
                <w:rFonts w:ascii="Arial"/>
                <w:sz w:val="21"/>
              </w:rPr>
            </w:pPr>
          </w:p>
          <w:p w14:paraId="2D169278">
            <w:pPr>
              <w:snapToGrid w:val="0"/>
              <w:spacing w:line="249" w:lineRule="auto"/>
              <w:rPr>
                <w:rFonts w:ascii="Arial"/>
                <w:sz w:val="21"/>
              </w:rPr>
            </w:pPr>
          </w:p>
          <w:p w14:paraId="28F205AC">
            <w:pPr>
              <w:snapToGrid w:val="0"/>
              <w:spacing w:line="249" w:lineRule="auto"/>
              <w:rPr>
                <w:rFonts w:ascii="Arial"/>
                <w:sz w:val="21"/>
              </w:rPr>
            </w:pPr>
          </w:p>
          <w:p w14:paraId="718E0678">
            <w:pPr>
              <w:snapToGrid w:val="0"/>
              <w:spacing w:line="249" w:lineRule="auto"/>
              <w:rPr>
                <w:rFonts w:ascii="Arial"/>
                <w:sz w:val="21"/>
              </w:rPr>
            </w:pPr>
          </w:p>
          <w:p w14:paraId="661CFBC1">
            <w:pPr>
              <w:snapToGrid w:val="0"/>
              <w:spacing w:line="249" w:lineRule="auto"/>
              <w:rPr>
                <w:rFonts w:ascii="Arial"/>
                <w:sz w:val="21"/>
              </w:rPr>
            </w:pPr>
          </w:p>
          <w:p w14:paraId="0184B92E">
            <w:pPr>
              <w:snapToGrid w:val="0"/>
              <w:spacing w:line="249" w:lineRule="auto"/>
              <w:rPr>
                <w:rFonts w:ascii="Arial"/>
                <w:sz w:val="21"/>
              </w:rPr>
            </w:pPr>
          </w:p>
          <w:p w14:paraId="0434849C">
            <w:pPr>
              <w:snapToGrid w:val="0"/>
              <w:spacing w:line="250" w:lineRule="auto"/>
              <w:rPr>
                <w:rFonts w:ascii="Arial"/>
                <w:sz w:val="21"/>
              </w:rPr>
            </w:pPr>
          </w:p>
          <w:p w14:paraId="031CD0D1">
            <w:pPr>
              <w:snapToGrid w:val="0"/>
              <w:spacing w:line="250" w:lineRule="auto"/>
              <w:rPr>
                <w:rFonts w:ascii="Arial"/>
                <w:sz w:val="21"/>
              </w:rPr>
            </w:pPr>
          </w:p>
          <w:p w14:paraId="10A48246">
            <w:pPr>
              <w:snapToGrid w:val="0"/>
              <w:spacing w:line="250" w:lineRule="auto"/>
              <w:rPr>
                <w:rFonts w:ascii="Arial"/>
                <w:sz w:val="21"/>
              </w:rPr>
            </w:pPr>
          </w:p>
          <w:p w14:paraId="26E6B1DE">
            <w:pPr>
              <w:snapToGrid w:val="0"/>
              <w:spacing w:line="250" w:lineRule="auto"/>
              <w:rPr>
                <w:rFonts w:ascii="Arial"/>
                <w:sz w:val="21"/>
              </w:rPr>
            </w:pPr>
          </w:p>
          <w:p w14:paraId="4F71F71F">
            <w:pPr>
              <w:snapToGrid w:val="0"/>
              <w:spacing w:line="250" w:lineRule="auto"/>
              <w:rPr>
                <w:rFonts w:ascii="Arial"/>
                <w:sz w:val="21"/>
              </w:rPr>
            </w:pPr>
          </w:p>
          <w:p w14:paraId="2B45F172">
            <w:pPr>
              <w:snapToGrid w:val="0"/>
              <w:spacing w:line="250" w:lineRule="auto"/>
              <w:rPr>
                <w:rFonts w:ascii="Arial"/>
                <w:sz w:val="21"/>
              </w:rPr>
            </w:pPr>
          </w:p>
          <w:p w14:paraId="7D0B1888">
            <w:pPr>
              <w:snapToGrid w:val="0"/>
              <w:spacing w:line="250" w:lineRule="auto"/>
              <w:rPr>
                <w:rFonts w:ascii="Arial"/>
                <w:sz w:val="21"/>
              </w:rPr>
            </w:pPr>
          </w:p>
          <w:p w14:paraId="7BF42E2E">
            <w:pPr>
              <w:snapToGrid w:val="0"/>
              <w:spacing w:line="250" w:lineRule="auto"/>
              <w:rPr>
                <w:rFonts w:ascii="Arial"/>
                <w:sz w:val="21"/>
              </w:rPr>
            </w:pPr>
          </w:p>
          <w:p w14:paraId="3EE6AF52">
            <w:pPr>
              <w:pStyle w:val="8"/>
              <w:snapToGrid w:val="0"/>
              <w:spacing w:before="221" w:line="227" w:lineRule="auto"/>
              <w:ind w:left="234"/>
            </w:pPr>
            <w:r>
              <w:rPr>
                <w:rFonts w:hint="eastAsia"/>
                <w:spacing w:val="3"/>
              </w:rPr>
              <w:t>2026年度全院医疗设备检定校准服务</w:t>
            </w:r>
            <w:r>
              <w:rPr>
                <w:spacing w:val="6"/>
              </w:rPr>
              <w:t>购</w:t>
            </w:r>
          </w:p>
        </w:tc>
        <w:tc>
          <w:tcPr>
            <w:tcW w:w="223"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top"/>
          </w:tcPr>
          <w:p w14:paraId="28A87174">
            <w:pPr>
              <w:snapToGrid w:val="0"/>
              <w:spacing w:line="247" w:lineRule="auto"/>
              <w:rPr>
                <w:rFonts w:ascii="Arial"/>
                <w:sz w:val="21"/>
              </w:rPr>
            </w:pPr>
          </w:p>
          <w:p w14:paraId="0D61143B">
            <w:pPr>
              <w:snapToGrid w:val="0"/>
              <w:spacing w:line="248" w:lineRule="auto"/>
              <w:rPr>
                <w:rFonts w:ascii="Arial"/>
                <w:sz w:val="21"/>
              </w:rPr>
            </w:pPr>
          </w:p>
          <w:p w14:paraId="2B6CF2E6">
            <w:pPr>
              <w:snapToGrid w:val="0"/>
              <w:spacing w:line="248" w:lineRule="auto"/>
              <w:rPr>
                <w:rFonts w:ascii="Arial"/>
                <w:sz w:val="21"/>
              </w:rPr>
            </w:pPr>
          </w:p>
          <w:p w14:paraId="4F5FE89C">
            <w:pPr>
              <w:snapToGrid w:val="0"/>
              <w:spacing w:line="248" w:lineRule="auto"/>
              <w:rPr>
                <w:rFonts w:ascii="Arial"/>
                <w:sz w:val="21"/>
              </w:rPr>
            </w:pPr>
          </w:p>
          <w:p w14:paraId="3B64A48C">
            <w:pPr>
              <w:snapToGrid w:val="0"/>
              <w:spacing w:line="248" w:lineRule="auto"/>
              <w:rPr>
                <w:rFonts w:ascii="Arial"/>
                <w:sz w:val="21"/>
              </w:rPr>
            </w:pPr>
          </w:p>
          <w:p w14:paraId="74A0744C">
            <w:pPr>
              <w:snapToGrid w:val="0"/>
              <w:spacing w:line="248" w:lineRule="auto"/>
              <w:rPr>
                <w:rFonts w:ascii="Arial"/>
                <w:sz w:val="21"/>
              </w:rPr>
            </w:pPr>
          </w:p>
          <w:p w14:paraId="0791064F">
            <w:pPr>
              <w:snapToGrid w:val="0"/>
              <w:spacing w:line="248" w:lineRule="auto"/>
              <w:rPr>
                <w:rFonts w:ascii="Arial"/>
                <w:sz w:val="21"/>
              </w:rPr>
            </w:pPr>
          </w:p>
          <w:p w14:paraId="532FF307">
            <w:pPr>
              <w:snapToGrid w:val="0"/>
              <w:spacing w:line="248" w:lineRule="auto"/>
              <w:rPr>
                <w:rFonts w:ascii="Arial"/>
                <w:sz w:val="21"/>
              </w:rPr>
            </w:pPr>
          </w:p>
          <w:p w14:paraId="1459D810">
            <w:pPr>
              <w:snapToGrid w:val="0"/>
              <w:spacing w:line="248" w:lineRule="auto"/>
              <w:rPr>
                <w:rFonts w:ascii="Arial"/>
                <w:sz w:val="21"/>
              </w:rPr>
            </w:pPr>
          </w:p>
          <w:p w14:paraId="55DA6569">
            <w:pPr>
              <w:snapToGrid w:val="0"/>
              <w:spacing w:line="248" w:lineRule="auto"/>
              <w:rPr>
                <w:rFonts w:ascii="Arial"/>
                <w:sz w:val="21"/>
              </w:rPr>
            </w:pPr>
          </w:p>
          <w:p w14:paraId="67FBD69A">
            <w:pPr>
              <w:snapToGrid w:val="0"/>
              <w:spacing w:line="248" w:lineRule="auto"/>
              <w:rPr>
                <w:rFonts w:ascii="Arial"/>
                <w:sz w:val="21"/>
              </w:rPr>
            </w:pPr>
          </w:p>
          <w:p w14:paraId="360B45FA">
            <w:pPr>
              <w:snapToGrid w:val="0"/>
              <w:spacing w:line="248" w:lineRule="auto"/>
              <w:rPr>
                <w:rFonts w:ascii="Arial"/>
                <w:sz w:val="21"/>
              </w:rPr>
            </w:pPr>
          </w:p>
          <w:p w14:paraId="7758FEDF">
            <w:pPr>
              <w:snapToGrid w:val="0"/>
              <w:spacing w:line="248" w:lineRule="auto"/>
              <w:rPr>
                <w:rFonts w:ascii="Arial"/>
                <w:sz w:val="21"/>
              </w:rPr>
            </w:pPr>
          </w:p>
          <w:p w14:paraId="484A99BD">
            <w:pPr>
              <w:snapToGrid w:val="0"/>
              <w:spacing w:line="248" w:lineRule="auto"/>
              <w:rPr>
                <w:rFonts w:ascii="Arial"/>
                <w:sz w:val="21"/>
              </w:rPr>
            </w:pPr>
          </w:p>
          <w:p w14:paraId="4CD4D3D8">
            <w:pPr>
              <w:snapToGrid w:val="0"/>
              <w:spacing w:line="248" w:lineRule="auto"/>
              <w:rPr>
                <w:rFonts w:ascii="Arial"/>
                <w:sz w:val="21"/>
              </w:rPr>
            </w:pPr>
          </w:p>
          <w:p w14:paraId="734D92AC">
            <w:pPr>
              <w:snapToGrid w:val="0"/>
              <w:spacing w:line="248" w:lineRule="auto"/>
              <w:rPr>
                <w:rFonts w:ascii="Arial"/>
                <w:sz w:val="21"/>
              </w:rPr>
            </w:pPr>
          </w:p>
          <w:p w14:paraId="2F3FF4EE">
            <w:pPr>
              <w:snapToGrid w:val="0"/>
              <w:spacing w:line="248" w:lineRule="auto"/>
              <w:rPr>
                <w:rFonts w:ascii="Arial"/>
                <w:sz w:val="21"/>
              </w:rPr>
            </w:pPr>
          </w:p>
          <w:p w14:paraId="45B79190">
            <w:pPr>
              <w:snapToGrid w:val="0"/>
              <w:spacing w:line="248" w:lineRule="auto"/>
              <w:rPr>
                <w:rFonts w:ascii="Arial"/>
                <w:sz w:val="21"/>
              </w:rPr>
            </w:pPr>
          </w:p>
          <w:p w14:paraId="0D7EA813">
            <w:pPr>
              <w:snapToGrid w:val="0"/>
              <w:spacing w:line="248" w:lineRule="auto"/>
              <w:rPr>
                <w:rFonts w:ascii="Arial"/>
                <w:sz w:val="21"/>
              </w:rPr>
            </w:pPr>
          </w:p>
          <w:p w14:paraId="2493DC98">
            <w:pPr>
              <w:snapToGrid w:val="0"/>
              <w:spacing w:line="248" w:lineRule="auto"/>
              <w:rPr>
                <w:rFonts w:ascii="Arial"/>
                <w:sz w:val="21"/>
              </w:rPr>
            </w:pPr>
          </w:p>
          <w:p w14:paraId="705FBFCC">
            <w:pPr>
              <w:snapToGrid w:val="0"/>
              <w:spacing w:line="248" w:lineRule="auto"/>
              <w:rPr>
                <w:rFonts w:ascii="Arial"/>
                <w:sz w:val="21"/>
              </w:rPr>
            </w:pPr>
          </w:p>
          <w:p w14:paraId="677116F5">
            <w:pPr>
              <w:snapToGrid w:val="0"/>
              <w:spacing w:line="248" w:lineRule="auto"/>
              <w:rPr>
                <w:rFonts w:ascii="Arial"/>
                <w:sz w:val="21"/>
              </w:rPr>
            </w:pPr>
          </w:p>
          <w:p w14:paraId="1A2484CC">
            <w:pPr>
              <w:snapToGrid w:val="0"/>
              <w:spacing w:line="248" w:lineRule="auto"/>
              <w:rPr>
                <w:rFonts w:ascii="Arial"/>
                <w:sz w:val="21"/>
              </w:rPr>
            </w:pPr>
          </w:p>
          <w:p w14:paraId="31F1664C">
            <w:pPr>
              <w:pStyle w:val="8"/>
              <w:snapToGrid w:val="0"/>
              <w:spacing w:before="65" w:line="228" w:lineRule="auto"/>
              <w:ind w:left="185"/>
              <w:outlineLvl w:val="0"/>
            </w:pPr>
            <w:r>
              <w:rPr>
                <w:spacing w:val="-10"/>
              </w:rPr>
              <w:t>1</w:t>
            </w:r>
            <w:r>
              <w:rPr>
                <w:spacing w:val="-38"/>
              </w:rPr>
              <w:t xml:space="preserve"> </w:t>
            </w:r>
            <w:r>
              <w:rPr>
                <w:spacing w:val="-10"/>
              </w:rPr>
              <w:t>项</w:t>
            </w:r>
          </w:p>
        </w:tc>
        <w:tc>
          <w:tcPr>
            <w:tcW w:w="3830" w:type="pct"/>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top"/>
          </w:tcPr>
          <w:p w14:paraId="734E9252">
            <w:pPr>
              <w:pStyle w:val="8"/>
              <w:snapToGrid w:val="0"/>
              <w:spacing w:before="187" w:line="227" w:lineRule="auto"/>
              <w:ind w:left="548"/>
            </w:pPr>
            <w:r>
              <w:rPr>
                <w:spacing w:val="6"/>
              </w:rPr>
              <w:t>1.供应商具备以下证书：</w:t>
            </w:r>
          </w:p>
          <w:p w14:paraId="209212DA">
            <w:pPr>
              <w:pStyle w:val="8"/>
              <w:snapToGrid w:val="0"/>
              <w:spacing w:before="222" w:line="432" w:lineRule="auto"/>
              <w:ind w:left="123" w:right="109" w:firstLine="420"/>
            </w:pPr>
            <w:r>
              <w:rPr>
                <w:spacing w:val="20"/>
              </w:rPr>
              <w:t>（1</w:t>
            </w:r>
            <w:r>
              <w:rPr>
                <w:spacing w:val="-46"/>
              </w:rPr>
              <w:t xml:space="preserve"> </w:t>
            </w:r>
            <w:r>
              <w:rPr>
                <w:spacing w:val="20"/>
              </w:rPr>
              <w:t>）</w:t>
            </w:r>
            <w:r>
              <w:rPr>
                <w:spacing w:val="-63"/>
              </w:rPr>
              <w:t xml:space="preserve"> </w:t>
            </w:r>
            <w:r>
              <w:rPr>
                <w:spacing w:val="20"/>
              </w:rPr>
              <w:t>▲具有中国合格评定国家认可委员会颁布的实验室认可证书</w:t>
            </w:r>
            <w:r>
              <w:rPr>
                <w:spacing w:val="9"/>
              </w:rPr>
              <w:t>（</w:t>
            </w:r>
            <w:r>
              <w:t>CNAS</w:t>
            </w:r>
            <w:r>
              <w:rPr>
                <w:spacing w:val="9"/>
              </w:rPr>
              <w:t xml:space="preserve"> 证书）。提供证书复印件并加盖公章。</w:t>
            </w:r>
          </w:p>
          <w:p w14:paraId="086061A6">
            <w:pPr>
              <w:pStyle w:val="8"/>
              <w:snapToGrid w:val="0"/>
              <w:spacing w:line="432" w:lineRule="auto"/>
              <w:ind w:left="112" w:right="109" w:firstLine="430"/>
            </w:pPr>
            <w:r>
              <w:rPr>
                <w:spacing w:val="9"/>
              </w:rPr>
              <w:t>（2）具有检验检测机构资质认定证书（</w:t>
            </w:r>
            <w:r>
              <w:t>CMA</w:t>
            </w:r>
            <w:r>
              <w:rPr>
                <w:spacing w:val="9"/>
              </w:rPr>
              <w:t xml:space="preserve"> 证书）。提供证书复印</w:t>
            </w:r>
            <w:r>
              <w:rPr>
                <w:spacing w:val="7"/>
              </w:rPr>
              <w:t>件并加盖公章。</w:t>
            </w:r>
          </w:p>
          <w:p w14:paraId="7A936BD1">
            <w:pPr>
              <w:pStyle w:val="8"/>
              <w:snapToGrid w:val="0"/>
              <w:spacing w:line="226" w:lineRule="auto"/>
              <w:ind w:left="543"/>
            </w:pPr>
            <w:r>
              <w:rPr>
                <w:spacing w:val="8"/>
              </w:rPr>
              <w:t>（3）有法定计量检定机构计量授权书；</w:t>
            </w:r>
          </w:p>
          <w:p w14:paraId="0EFCE616">
            <w:pPr>
              <w:pStyle w:val="8"/>
              <w:snapToGrid w:val="0"/>
              <w:spacing w:before="222" w:line="432" w:lineRule="auto"/>
              <w:ind w:left="114" w:right="38" w:firstLine="428"/>
            </w:pPr>
            <w:r>
              <w:rPr>
                <w:spacing w:val="5"/>
              </w:rPr>
              <w:t>（4）有在有效期内监护仪、血压计、X</w:t>
            </w:r>
            <w:r>
              <w:rPr>
                <w:spacing w:val="-18"/>
              </w:rPr>
              <w:t xml:space="preserve"> </w:t>
            </w:r>
            <w:r>
              <w:rPr>
                <w:spacing w:val="5"/>
              </w:rPr>
              <w:t>线设备、呼吸机</w:t>
            </w:r>
            <w:r>
              <w:rPr>
                <w:spacing w:val="9"/>
              </w:rPr>
              <w:t>等医疗设备的社会共用计量标准证书。</w:t>
            </w:r>
          </w:p>
          <w:p w14:paraId="5143E478">
            <w:pPr>
              <w:pStyle w:val="8"/>
              <w:snapToGrid w:val="0"/>
              <w:spacing w:before="2" w:line="431" w:lineRule="auto"/>
              <w:ind w:left="122" w:right="109" w:firstLine="412"/>
            </w:pPr>
            <w:r>
              <w:rPr>
                <w:spacing w:val="12"/>
              </w:rPr>
              <w:t>2.▲检测设备要求：检测设备溯源合格，溯源证书在有效期内。必要</w:t>
            </w:r>
            <w:r>
              <w:rPr>
                <w:spacing w:val="8"/>
              </w:rPr>
              <w:t>时相关证书电子版或复印件可提供给院方。</w:t>
            </w:r>
          </w:p>
          <w:p w14:paraId="05B5088D">
            <w:pPr>
              <w:pStyle w:val="8"/>
              <w:snapToGrid w:val="0"/>
              <w:spacing w:before="6" w:line="431" w:lineRule="auto"/>
              <w:ind w:left="113" w:right="107" w:firstLine="424"/>
            </w:pPr>
            <w:r>
              <w:rPr>
                <w:spacing w:val="9"/>
              </w:rPr>
              <w:t>3.▲本次计量检定/校准服务为统一打包，供应</w:t>
            </w:r>
            <w:r>
              <w:rPr>
                <w:spacing w:val="8"/>
              </w:rPr>
              <w:t>商需完成采购人《计量</w:t>
            </w:r>
            <w:r>
              <w:rPr>
                <w:spacing w:val="9"/>
              </w:rPr>
              <w:t>检测设备清单》内所有项目计量检定/校准，计量服务的所有计量项目应由</w:t>
            </w:r>
            <w:r>
              <w:rPr>
                <w:spacing w:val="12"/>
              </w:rPr>
              <w:t>供应商完成。</w:t>
            </w:r>
          </w:p>
          <w:p w14:paraId="3565D1E5">
            <w:pPr>
              <w:pStyle w:val="8"/>
              <w:snapToGrid w:val="0"/>
              <w:spacing w:line="432" w:lineRule="auto"/>
              <w:ind w:left="118" w:right="109" w:firstLine="414"/>
            </w:pPr>
            <w:r>
              <w:rPr>
                <w:spacing w:val="12"/>
              </w:rPr>
              <w:t>4.▲</w:t>
            </w:r>
            <w:r>
              <w:rPr>
                <w:rFonts w:hint="eastAsia"/>
                <w:spacing w:val="12"/>
              </w:rPr>
              <w:t>本项目无预付款，完成全部工作内容并出具相应的全部证书后支付审批通过后一次性完成全部款项支付</w:t>
            </w:r>
            <w:r>
              <w:rPr>
                <w:spacing w:val="12"/>
              </w:rPr>
              <w:t>。供应商根据合同检定设备单价和实际计量检</w:t>
            </w:r>
            <w:r>
              <w:rPr>
                <w:spacing w:val="8"/>
              </w:rPr>
              <w:t>定/校准并验收合格设备数量结算。</w:t>
            </w:r>
          </w:p>
          <w:p w14:paraId="705D1C35">
            <w:pPr>
              <w:pStyle w:val="8"/>
              <w:snapToGrid w:val="0"/>
              <w:spacing w:before="1" w:line="227" w:lineRule="auto"/>
              <w:ind w:left="537"/>
            </w:pPr>
            <w:r>
              <w:rPr>
                <w:spacing w:val="5"/>
              </w:rPr>
              <w:t>5.▲验收要求：</w:t>
            </w:r>
          </w:p>
          <w:p w14:paraId="78900840">
            <w:pPr>
              <w:pStyle w:val="8"/>
              <w:snapToGrid w:val="0"/>
              <w:spacing w:before="221" w:line="227" w:lineRule="auto"/>
              <w:ind w:left="543"/>
            </w:pPr>
            <w:r>
              <w:rPr>
                <w:spacing w:val="9"/>
              </w:rPr>
              <w:t>（1）采购人不定期组织专家抽查供应商出具</w:t>
            </w:r>
            <w:r>
              <w:rPr>
                <w:spacing w:val="8"/>
              </w:rPr>
              <w:t>的检定、校准证书。</w:t>
            </w:r>
          </w:p>
          <w:p w14:paraId="5DBBF462">
            <w:pPr>
              <w:pStyle w:val="8"/>
              <w:snapToGrid w:val="0"/>
              <w:spacing w:before="222" w:line="432" w:lineRule="auto"/>
              <w:ind w:left="114" w:right="107" w:firstLine="428"/>
            </w:pPr>
            <w:r>
              <w:rPr>
                <w:spacing w:val="9"/>
              </w:rPr>
              <w:t>（2）供应商应按照采购人提供检定设备目录按时完成</w:t>
            </w:r>
            <w:r>
              <w:rPr>
                <w:spacing w:val="8"/>
              </w:rPr>
              <w:t>设备检定，未能</w:t>
            </w:r>
            <w:r>
              <w:rPr>
                <w:spacing w:val="12"/>
              </w:rPr>
              <w:t>完成检定或验收不合格的检定设备，按照当批次未完成设备检定应付总费</w:t>
            </w:r>
            <w:r>
              <w:rPr>
                <w:spacing w:val="8"/>
              </w:rPr>
              <w:t>用</w:t>
            </w:r>
            <w:r>
              <w:rPr>
                <w:spacing w:val="-36"/>
              </w:rPr>
              <w:t xml:space="preserve"> </w:t>
            </w:r>
            <w:r>
              <w:rPr>
                <w:spacing w:val="8"/>
              </w:rPr>
              <w:t>3</w:t>
            </w:r>
            <w:r>
              <w:rPr>
                <w:spacing w:val="-38"/>
              </w:rPr>
              <w:t xml:space="preserve"> </w:t>
            </w:r>
            <w:r>
              <w:rPr>
                <w:spacing w:val="8"/>
              </w:rPr>
              <w:t>倍金额进行扣罚，扣款从合同服务费中直接扣除。</w:t>
            </w:r>
          </w:p>
        </w:tc>
      </w:tr>
    </w:tbl>
    <w:p w14:paraId="0AA324A3">
      <w:pPr>
        <w:pStyle w:val="3"/>
      </w:pPr>
    </w:p>
    <w:p w14:paraId="1381CAC6">
      <w:pPr>
        <w:sectPr>
          <w:footerReference r:id="rId6" w:type="default"/>
          <w:pgSz w:w="11906" w:h="16839"/>
          <w:pgMar w:top="1431" w:right="1408" w:bottom="1012" w:left="1134" w:header="0" w:footer="850" w:gutter="0"/>
          <w:pgNumType w:fmt="decimal"/>
          <w:cols w:space="720" w:num="1"/>
        </w:sectPr>
      </w:pPr>
    </w:p>
    <w:tbl>
      <w:tblPr>
        <w:tblStyle w:val="9"/>
        <w:tblW w:w="93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0"/>
        <w:gridCol w:w="698"/>
        <w:gridCol w:w="7031"/>
      </w:tblGrid>
      <w:tr w14:paraId="395617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93" w:hRule="atLeast"/>
        </w:trPr>
        <w:tc>
          <w:tcPr>
            <w:tcW w:w="539" w:type="dxa"/>
            <w:vAlign w:val="top"/>
          </w:tcPr>
          <w:p w14:paraId="6DAD2E24">
            <w:pPr>
              <w:rPr>
                <w:rFonts w:ascii="Arial"/>
                <w:sz w:val="21"/>
              </w:rPr>
            </w:pPr>
          </w:p>
        </w:tc>
        <w:tc>
          <w:tcPr>
            <w:tcW w:w="1090" w:type="dxa"/>
            <w:vAlign w:val="top"/>
          </w:tcPr>
          <w:p w14:paraId="4325CAE6">
            <w:pPr>
              <w:rPr>
                <w:rFonts w:ascii="Arial"/>
                <w:sz w:val="21"/>
              </w:rPr>
            </w:pPr>
          </w:p>
        </w:tc>
        <w:tc>
          <w:tcPr>
            <w:tcW w:w="698" w:type="dxa"/>
            <w:vAlign w:val="top"/>
          </w:tcPr>
          <w:p w14:paraId="2A3D3C10">
            <w:pPr>
              <w:rPr>
                <w:rFonts w:ascii="Arial"/>
                <w:sz w:val="21"/>
              </w:rPr>
            </w:pPr>
          </w:p>
        </w:tc>
        <w:tc>
          <w:tcPr>
            <w:tcW w:w="7031" w:type="dxa"/>
            <w:vAlign w:val="top"/>
          </w:tcPr>
          <w:p w14:paraId="211A6F27">
            <w:pPr>
              <w:pStyle w:val="8"/>
              <w:spacing w:before="192" w:line="226" w:lineRule="auto"/>
              <w:ind w:left="534"/>
            </w:pPr>
            <w:r>
              <w:rPr>
                <w:spacing w:val="7"/>
              </w:rPr>
              <w:t>6.计量检定/校准报告质量要求：</w:t>
            </w:r>
          </w:p>
          <w:p w14:paraId="7C21B8C5">
            <w:pPr>
              <w:pStyle w:val="8"/>
              <w:spacing w:before="222" w:line="432" w:lineRule="auto"/>
              <w:ind w:left="112" w:right="107" w:firstLine="430"/>
            </w:pPr>
            <w:r>
              <w:rPr>
                <w:spacing w:val="9"/>
              </w:rPr>
              <w:t>（1）</w:t>
            </w:r>
            <w:r>
              <w:rPr>
                <w:spacing w:val="13"/>
              </w:rPr>
              <w:t>供应商保证</w:t>
            </w:r>
            <w:r>
              <w:rPr>
                <w:spacing w:val="13"/>
                <w:lang w:val="en-US" w:eastAsia="en-US"/>
              </w:rPr>
              <w:t>严格依据相关计量</w:t>
            </w:r>
            <w:r>
              <w:rPr>
                <w:rFonts w:hint="eastAsia"/>
                <w:spacing w:val="13"/>
                <w:lang w:val="en-US" w:eastAsia="zh-CN"/>
              </w:rPr>
              <w:t>技术</w:t>
            </w:r>
            <w:r>
              <w:rPr>
                <w:spacing w:val="13"/>
                <w:lang w:val="en-US" w:eastAsia="en-US"/>
              </w:rPr>
              <w:t>规范开展</w:t>
            </w:r>
            <w:r>
              <w:rPr>
                <w:spacing w:val="13"/>
              </w:rPr>
              <w:t>《计量检测设备清单》中的仪</w:t>
            </w:r>
            <w:r>
              <w:rPr>
                <w:spacing w:val="13"/>
                <w:lang w:val="en-US" w:eastAsia="en-US"/>
              </w:rPr>
              <w:t>器设备的计量检测工作，检测结果如实报告，不得提</w:t>
            </w:r>
            <w:r>
              <w:rPr>
                <w:spacing w:val="13"/>
              </w:rPr>
              <w:t>供虚假数据，如有提供虚假数据，一经发现，采购人有权追究供应商违约责任及解除本项目合同，且因此而产生的一切费用、损失（包括间接的损</w:t>
            </w:r>
            <w:r>
              <w:rPr>
                <w:spacing w:val="12"/>
              </w:rPr>
              <w:t>失、名誉的受损等）和责</w:t>
            </w:r>
            <w:r>
              <w:rPr>
                <w:spacing w:val="7"/>
              </w:rPr>
              <w:t>任由供应商承担。</w:t>
            </w:r>
          </w:p>
          <w:p w14:paraId="3CDD3DBA">
            <w:pPr>
              <w:pStyle w:val="8"/>
              <w:spacing w:line="432" w:lineRule="auto"/>
              <w:ind w:left="114" w:right="107" w:firstLine="428"/>
            </w:pPr>
            <w:r>
              <w:rPr>
                <w:spacing w:val="8"/>
              </w:rPr>
              <w:t>（2）仪器设备在采购人验收合格之日起</w:t>
            </w:r>
            <w:r>
              <w:rPr>
                <w:spacing w:val="-35"/>
              </w:rPr>
              <w:t xml:space="preserve"> </w:t>
            </w:r>
            <w:r>
              <w:rPr>
                <w:spacing w:val="8"/>
              </w:rPr>
              <w:t>3</w:t>
            </w:r>
            <w:r>
              <w:rPr>
                <w:spacing w:val="-37"/>
              </w:rPr>
              <w:t xml:space="preserve"> </w:t>
            </w:r>
            <w:r>
              <w:rPr>
                <w:spacing w:val="8"/>
              </w:rPr>
              <w:t>个工作日内如对计</w:t>
            </w:r>
            <w:r>
              <w:rPr>
                <w:spacing w:val="7"/>
              </w:rPr>
              <w:t>量数据有</w:t>
            </w:r>
            <w:r>
              <w:rPr>
                <w:spacing w:val="12"/>
              </w:rPr>
              <w:t>疑问，供应商应就采购人的疑问负责</w:t>
            </w:r>
            <w:r>
              <w:rPr>
                <w:rFonts w:hint="eastAsia"/>
                <w:spacing w:val="12"/>
                <w:lang w:eastAsia="zh-CN"/>
              </w:rPr>
              <w:t>作出</w:t>
            </w:r>
            <w:r>
              <w:rPr>
                <w:spacing w:val="12"/>
              </w:rPr>
              <w:t>解释，如需重新计量，供应商负</w:t>
            </w:r>
            <w:r>
              <w:rPr>
                <w:spacing w:val="10"/>
              </w:rPr>
              <w:t>责重新计量并在</w:t>
            </w:r>
            <w:r>
              <w:rPr>
                <w:spacing w:val="-27"/>
              </w:rPr>
              <w:t xml:space="preserve"> </w:t>
            </w:r>
            <w:r>
              <w:rPr>
                <w:spacing w:val="10"/>
              </w:rPr>
              <w:t>3</w:t>
            </w:r>
            <w:r>
              <w:rPr>
                <w:spacing w:val="-35"/>
              </w:rPr>
              <w:t xml:space="preserve"> </w:t>
            </w:r>
            <w:r>
              <w:rPr>
                <w:spacing w:val="10"/>
              </w:rPr>
              <w:t>个工作日内完成（重新计量费用包含在报价中）</w:t>
            </w:r>
            <w:r>
              <w:rPr>
                <w:spacing w:val="-56"/>
              </w:rPr>
              <w:t xml:space="preserve"> </w:t>
            </w:r>
            <w:r>
              <w:rPr>
                <w:spacing w:val="10"/>
              </w:rPr>
              <w:t>。采购</w:t>
            </w:r>
            <w:r>
              <w:rPr>
                <w:spacing w:val="8"/>
              </w:rPr>
              <w:t>人收到返回的仪器设备当日起为验收日。</w:t>
            </w:r>
          </w:p>
          <w:p w14:paraId="1FA2836C">
            <w:pPr>
              <w:pStyle w:val="8"/>
              <w:spacing w:before="3" w:line="431" w:lineRule="auto"/>
              <w:ind w:left="111" w:right="38" w:firstLine="431"/>
              <w:rPr>
                <w:rFonts w:hint="eastAsia" w:eastAsia="宋体"/>
                <w:lang w:val="en-US" w:eastAsia="zh-CN"/>
              </w:rPr>
            </w:pPr>
            <w:r>
              <w:rPr>
                <w:spacing w:val="12"/>
              </w:rPr>
              <w:t>（3）</w:t>
            </w:r>
            <w:r>
              <w:rPr>
                <w:spacing w:val="8"/>
              </w:rPr>
              <w:t>除设备基本信息外，计量检定/校准报告需体现使用科室、院内资产码</w:t>
            </w:r>
            <w:r>
              <w:rPr>
                <w:rFonts w:hint="eastAsia"/>
                <w:spacing w:val="8"/>
                <w:lang w:eastAsia="zh-CN"/>
              </w:rPr>
              <w:t>（</w:t>
            </w:r>
            <w:r>
              <w:rPr>
                <w:spacing w:val="8"/>
              </w:rPr>
              <w:t>小设备及因特殊原因无资产码的设备除外</w:t>
            </w:r>
            <w:r>
              <w:rPr>
                <w:rFonts w:hint="eastAsia"/>
                <w:spacing w:val="8"/>
                <w:lang w:eastAsia="zh-CN"/>
              </w:rPr>
              <w:t>）</w:t>
            </w:r>
            <w:r>
              <w:rPr>
                <w:spacing w:val="8"/>
              </w:rPr>
              <w:t>。</w:t>
            </w:r>
            <w:r>
              <w:rPr>
                <w:rFonts w:hint="eastAsia"/>
                <w:spacing w:val="8"/>
                <w:lang w:val="en-US" w:eastAsia="zh-CN"/>
              </w:rPr>
              <w:t xml:space="preserve"> </w:t>
            </w:r>
          </w:p>
          <w:p w14:paraId="4C3D2170">
            <w:pPr>
              <w:pStyle w:val="8"/>
              <w:spacing w:line="432" w:lineRule="auto"/>
              <w:ind w:left="112" w:right="107" w:firstLine="430"/>
              <w:rPr>
                <w:spacing w:val="9"/>
              </w:rPr>
            </w:pPr>
            <w:r>
              <w:rPr>
                <w:spacing w:val="12"/>
              </w:rPr>
              <w:t>（4）对于检定/校准不合格的计量器具，不可在未沟通的情况下出具</w:t>
            </w:r>
            <w:r>
              <w:rPr>
                <w:spacing w:val="9"/>
              </w:rPr>
              <w:t>计量证书且不告知不合格情况，检定/校准出不合格情况后当天立即口头反</w:t>
            </w:r>
            <w:r>
              <w:rPr>
                <w:spacing w:val="7"/>
              </w:rPr>
              <w:t>馈给使用科室、分区工程师，</w:t>
            </w:r>
            <w:r>
              <w:rPr>
                <w:spacing w:val="9"/>
              </w:rPr>
              <w:t>3 天内出具书面通知书告知医疗设备科业务联系人，书面通知书应包含不合格计量器具名称、型号、院内资产码、出厂编号、不合格情况、检定/校准员签字等信息。</w:t>
            </w:r>
          </w:p>
          <w:p w14:paraId="3CF6B2BB">
            <w:pPr>
              <w:pStyle w:val="8"/>
              <w:spacing w:line="227" w:lineRule="auto"/>
              <w:ind w:left="538"/>
            </w:pPr>
            <w:r>
              <w:rPr>
                <w:spacing w:val="6"/>
              </w:rPr>
              <w:t>7.现场检定/校准需求：</w:t>
            </w:r>
          </w:p>
          <w:p w14:paraId="349D3A7D">
            <w:pPr>
              <w:pStyle w:val="8"/>
              <w:spacing w:before="221" w:line="432" w:lineRule="auto"/>
              <w:ind w:left="112" w:right="107" w:firstLine="430"/>
            </w:pPr>
            <w:r>
              <w:rPr>
                <w:spacing w:val="7"/>
              </w:rPr>
              <w:t>（1）每类设备检定/校准完成后，需使用科室（负责人或科室在场人员）签字，并交</w:t>
            </w:r>
            <w:r>
              <w:rPr>
                <w:spacing w:val="-5"/>
              </w:rPr>
              <w:t xml:space="preserve"> </w:t>
            </w:r>
            <w:r>
              <w:rPr>
                <w:spacing w:val="7"/>
              </w:rPr>
              <w:t>1</w:t>
            </w:r>
            <w:r>
              <w:rPr>
                <w:spacing w:val="-38"/>
              </w:rPr>
              <w:t xml:space="preserve"> </w:t>
            </w:r>
            <w:r>
              <w:rPr>
                <w:spacing w:val="7"/>
              </w:rPr>
              <w:t>份至医疗设</w:t>
            </w:r>
            <w:r>
              <w:rPr>
                <w:spacing w:val="13"/>
              </w:rPr>
              <w:t>备科业务联系人留存，表格可自制或采用医院模</w:t>
            </w:r>
            <w:r>
              <w:rPr>
                <w:spacing w:val="12"/>
              </w:rPr>
              <w:t>板，必须体现的信息：使</w:t>
            </w:r>
            <w:r>
              <w:rPr>
                <w:spacing w:val="9"/>
              </w:rPr>
              <w:t>用科室、设备名称、型号、院内资产码、出厂编号、检定/校准日期、检定</w:t>
            </w:r>
            <w:r>
              <w:rPr>
                <w:spacing w:val="7"/>
              </w:rPr>
              <w:t>/校准员、科室签字等。</w:t>
            </w:r>
          </w:p>
          <w:p w14:paraId="0D2A72C8">
            <w:pPr>
              <w:pStyle w:val="8"/>
              <w:spacing w:line="432" w:lineRule="auto"/>
              <w:ind w:left="116" w:right="55" w:firstLine="426"/>
            </w:pPr>
            <w:r>
              <w:rPr>
                <w:spacing w:val="1"/>
              </w:rPr>
              <w:t>（2）每类设备检定/校准完成后，需</w:t>
            </w:r>
            <w:r>
              <w:rPr>
                <w:spacing w:val="-7"/>
              </w:rPr>
              <w:t xml:space="preserve"> </w:t>
            </w:r>
            <w:r>
              <w:rPr>
                <w:spacing w:val="1"/>
              </w:rPr>
              <w:t>1</w:t>
            </w:r>
            <w:r>
              <w:rPr>
                <w:spacing w:val="-38"/>
              </w:rPr>
              <w:t xml:space="preserve"> </w:t>
            </w:r>
            <w:r>
              <w:rPr>
                <w:spacing w:val="1"/>
              </w:rPr>
              <w:t>个月内提供</w:t>
            </w:r>
            <w:r>
              <w:rPr>
                <w:spacing w:val="-24"/>
              </w:rPr>
              <w:t xml:space="preserve"> </w:t>
            </w:r>
            <w:r>
              <w:rPr>
                <w:spacing w:val="1"/>
              </w:rPr>
              <w:t>1</w:t>
            </w:r>
            <w:r>
              <w:rPr>
                <w:spacing w:val="-38"/>
              </w:rPr>
              <w:t xml:space="preserve"> </w:t>
            </w:r>
            <w:r>
              <w:rPr>
                <w:spacing w:val="1"/>
              </w:rPr>
              <w:t>份检定/校准清单，</w:t>
            </w:r>
            <w:r>
              <w:rPr>
                <w:spacing w:val="12"/>
              </w:rPr>
              <w:t>必须提供的信息有：科室名称、院内资产码、出厂编号、设备名称、设备</w:t>
            </w:r>
            <w:r>
              <w:rPr>
                <w:spacing w:val="8"/>
              </w:rPr>
              <w:t>型号、计量证书编号、检定/校准日期等。</w:t>
            </w:r>
          </w:p>
          <w:p w14:paraId="02E2DF03">
            <w:pPr>
              <w:pStyle w:val="8"/>
              <w:spacing w:before="2" w:line="431" w:lineRule="auto"/>
              <w:ind w:left="114" w:right="107" w:firstLine="428"/>
            </w:pPr>
            <w:r>
              <w:rPr>
                <w:spacing w:val="8"/>
              </w:rPr>
              <w:t>（3）检定/校准前需提前和设备科业务联系人对接，安排现场检定/校准事宜，不可擅自前往科室进行检定/校准。</w:t>
            </w:r>
          </w:p>
          <w:p w14:paraId="5186E86C">
            <w:pPr>
              <w:pStyle w:val="8"/>
              <w:spacing w:before="1" w:line="226" w:lineRule="auto"/>
              <w:ind w:left="533"/>
            </w:pPr>
            <w:r>
              <w:rPr>
                <w:spacing w:val="12"/>
              </w:rPr>
              <w:t>8.供应商具备独立完成检定、校准项目的实验室和仪器设备及技术人</w:t>
            </w:r>
          </w:p>
        </w:tc>
      </w:tr>
    </w:tbl>
    <w:p w14:paraId="6924B24B">
      <w:pPr>
        <w:pStyle w:val="3"/>
      </w:pPr>
    </w:p>
    <w:p w14:paraId="496FD011">
      <w:pPr>
        <w:sectPr>
          <w:footerReference r:id="rId7" w:type="default"/>
          <w:pgSz w:w="11906" w:h="16839"/>
          <w:pgMar w:top="1416" w:right="1408" w:bottom="1012" w:left="1134" w:header="0" w:footer="850" w:gutter="0"/>
          <w:pgNumType w:fmt="decimal"/>
          <w:cols w:space="720" w:num="1"/>
        </w:sectPr>
      </w:pPr>
    </w:p>
    <w:tbl>
      <w:tblPr>
        <w:tblStyle w:val="9"/>
        <w:tblW w:w="93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0"/>
        <w:gridCol w:w="698"/>
        <w:gridCol w:w="7031"/>
      </w:tblGrid>
      <w:tr w14:paraId="722A8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23" w:hRule="atLeast"/>
        </w:trPr>
        <w:tc>
          <w:tcPr>
            <w:tcW w:w="539" w:type="dxa"/>
            <w:vAlign w:val="top"/>
          </w:tcPr>
          <w:p w14:paraId="5DBFD915">
            <w:pPr>
              <w:rPr>
                <w:rFonts w:ascii="Arial"/>
                <w:sz w:val="21"/>
              </w:rPr>
            </w:pPr>
          </w:p>
        </w:tc>
        <w:tc>
          <w:tcPr>
            <w:tcW w:w="1090" w:type="dxa"/>
            <w:vAlign w:val="top"/>
          </w:tcPr>
          <w:p w14:paraId="2A89733D">
            <w:pPr>
              <w:rPr>
                <w:rFonts w:ascii="Arial"/>
                <w:sz w:val="21"/>
              </w:rPr>
            </w:pPr>
          </w:p>
        </w:tc>
        <w:tc>
          <w:tcPr>
            <w:tcW w:w="698" w:type="dxa"/>
            <w:vAlign w:val="top"/>
          </w:tcPr>
          <w:p w14:paraId="43F86E66">
            <w:pPr>
              <w:rPr>
                <w:rFonts w:ascii="Arial"/>
                <w:sz w:val="21"/>
              </w:rPr>
            </w:pPr>
          </w:p>
        </w:tc>
        <w:tc>
          <w:tcPr>
            <w:tcW w:w="7031" w:type="dxa"/>
            <w:vAlign w:val="top"/>
          </w:tcPr>
          <w:p w14:paraId="5CB029ED">
            <w:pPr>
              <w:pStyle w:val="8"/>
              <w:spacing w:before="192" w:line="229" w:lineRule="auto"/>
              <w:ind w:left="121"/>
            </w:pPr>
            <w:r>
              <w:rPr>
                <w:spacing w:val="-4"/>
              </w:rPr>
              <w:t>员。</w:t>
            </w:r>
          </w:p>
          <w:p w14:paraId="0195C422">
            <w:pPr>
              <w:pStyle w:val="8"/>
              <w:spacing w:before="219" w:line="432" w:lineRule="auto"/>
              <w:ind w:left="115" w:right="109" w:firstLine="418"/>
            </w:pPr>
            <w:r>
              <w:rPr>
                <w:spacing w:val="9"/>
              </w:rPr>
              <w:t>9.供应商需配合采购人工作要求，分批次现场或送检，</w:t>
            </w:r>
            <w:r>
              <w:rPr>
                <w:spacing w:val="8"/>
              </w:rPr>
              <w:t>确保检定/校准工作不影响临床或实验室正常运行。</w:t>
            </w:r>
          </w:p>
          <w:p w14:paraId="4AA29F0C">
            <w:pPr>
              <w:pStyle w:val="8"/>
              <w:spacing w:before="3" w:line="431" w:lineRule="auto"/>
              <w:ind w:left="113" w:right="107" w:firstLine="435"/>
            </w:pPr>
            <w:r>
              <w:rPr>
                <w:spacing w:val="11"/>
              </w:rPr>
              <w:t>10.供应商提供现场计量检定/校准服务，且不额外收费。供应商现场</w:t>
            </w:r>
            <w:r>
              <w:rPr>
                <w:spacing w:val="13"/>
              </w:rPr>
              <w:t>检定工作人员须配合采购人相关管理要求，需</w:t>
            </w:r>
            <w:r>
              <w:rPr>
                <w:spacing w:val="12"/>
              </w:rPr>
              <w:t>要办理通行证的，按医院管</w:t>
            </w:r>
            <w:r>
              <w:rPr>
                <w:spacing w:val="7"/>
              </w:rPr>
              <w:t>理规定办理通行证。</w:t>
            </w:r>
          </w:p>
          <w:p w14:paraId="358A6605">
            <w:pPr>
              <w:pStyle w:val="8"/>
              <w:spacing w:line="432" w:lineRule="auto"/>
              <w:ind w:left="111" w:right="107" w:firstLine="437"/>
            </w:pPr>
            <w:r>
              <w:rPr>
                <w:spacing w:val="8"/>
              </w:rPr>
              <w:t>11.供应商应提供详细的项目服务方案，包括但不限于服务团队人员配</w:t>
            </w:r>
            <w:r>
              <w:rPr>
                <w:spacing w:val="13"/>
              </w:rPr>
              <w:t>置，服务内容（如现场计量预约服务、仪器设备及</w:t>
            </w:r>
            <w:r>
              <w:rPr>
                <w:spacing w:val="12"/>
              </w:rPr>
              <w:t>证书预约领取服务、费</w:t>
            </w:r>
            <w:r>
              <w:rPr>
                <w:spacing w:val="7"/>
              </w:rPr>
              <w:t>用结算）等。</w:t>
            </w:r>
          </w:p>
          <w:p w14:paraId="246124BE">
            <w:pPr>
              <w:pStyle w:val="8"/>
              <w:spacing w:before="4" w:line="431" w:lineRule="auto"/>
              <w:ind w:left="113" w:right="107" w:firstLine="435"/>
            </w:pPr>
            <w:r>
              <w:rPr>
                <w:spacing w:val="11"/>
              </w:rPr>
              <w:t>12.供应商应提供详细的计量服务方案，包括但不限于项目检定/校准</w:t>
            </w:r>
            <w:r>
              <w:rPr>
                <w:spacing w:val="13"/>
              </w:rPr>
              <w:t>服务依据标准、规范和文件；计量器具的检定</w:t>
            </w:r>
            <w:r>
              <w:rPr>
                <w:spacing w:val="12"/>
              </w:rPr>
              <w:t>、校准技术方案；用于计量</w:t>
            </w:r>
            <w:r>
              <w:rPr>
                <w:spacing w:val="9"/>
              </w:rPr>
              <w:t>检定/校准服务的仪器设备配置方案；项目组织计划及措施；项目质量、安</w:t>
            </w:r>
            <w:r>
              <w:rPr>
                <w:spacing w:val="8"/>
              </w:rPr>
              <w:t>全、环保保证措施等。</w:t>
            </w:r>
          </w:p>
          <w:p w14:paraId="254C1E82">
            <w:pPr>
              <w:pStyle w:val="8"/>
              <w:spacing w:line="226" w:lineRule="auto"/>
              <w:ind w:left="548"/>
            </w:pPr>
            <w:r>
              <w:rPr>
                <w:spacing w:val="7"/>
              </w:rPr>
              <w:t>13.供应商应提供电子版检定、校准证书。</w:t>
            </w:r>
          </w:p>
          <w:p w14:paraId="1FCAB13E">
            <w:pPr>
              <w:pStyle w:val="8"/>
              <w:spacing w:before="223" w:line="229" w:lineRule="auto"/>
              <w:ind w:left="548"/>
            </w:pPr>
            <w:r>
              <w:rPr>
                <w:spacing w:val="4"/>
              </w:rPr>
              <w:t>14.响应时间要求：</w:t>
            </w:r>
          </w:p>
          <w:p w14:paraId="3AEDFFD6">
            <w:pPr>
              <w:pStyle w:val="8"/>
              <w:spacing w:before="219" w:line="432" w:lineRule="auto"/>
              <w:ind w:left="112" w:right="109" w:firstLine="430"/>
            </w:pPr>
            <w:r>
              <w:rPr>
                <w:spacing w:val="10"/>
              </w:rPr>
              <w:t>（1）供应商应设立项目负责人，服务电话保证 7</w:t>
            </w:r>
            <w:r>
              <w:rPr>
                <w:spacing w:val="-58"/>
              </w:rPr>
              <w:t xml:space="preserve"> </w:t>
            </w:r>
            <w:r>
              <w:rPr>
                <w:spacing w:val="10"/>
              </w:rPr>
              <w:t>×24 小时随时有人</w:t>
            </w:r>
            <w:r>
              <w:rPr>
                <w:spacing w:val="3"/>
              </w:rPr>
              <w:t>接听。</w:t>
            </w:r>
          </w:p>
          <w:p w14:paraId="0BF1F929">
            <w:pPr>
              <w:pStyle w:val="8"/>
              <w:spacing w:line="432" w:lineRule="auto"/>
              <w:ind w:left="114" w:right="109" w:firstLine="428"/>
            </w:pPr>
            <w:r>
              <w:rPr>
                <w:spacing w:val="10"/>
              </w:rPr>
              <w:t>（2）供应商收到采购人的检定通知后，5</w:t>
            </w:r>
            <w:r>
              <w:rPr>
                <w:spacing w:val="-38"/>
              </w:rPr>
              <w:t xml:space="preserve"> </w:t>
            </w:r>
            <w:r>
              <w:rPr>
                <w:spacing w:val="10"/>
              </w:rPr>
              <w:t>个工作日内响应，现场检定完成或送检后，1</w:t>
            </w:r>
            <w:r>
              <w:rPr>
                <w:rFonts w:hint="eastAsia"/>
                <w:spacing w:val="10"/>
                <w:lang w:val="en-US" w:eastAsia="zh-CN"/>
              </w:rPr>
              <w:t>5</w:t>
            </w:r>
            <w:r>
              <w:rPr>
                <w:spacing w:val="10"/>
              </w:rPr>
              <w:t>个工作日内出具证书。检定量较大或需要委托第三方检</w:t>
            </w:r>
            <w:r>
              <w:rPr>
                <w:spacing w:val="9"/>
              </w:rPr>
              <w:t>定/校准的 ，经与采购人协商同意后，可适当延长出具证</w:t>
            </w:r>
            <w:r>
              <w:rPr>
                <w:spacing w:val="8"/>
              </w:rPr>
              <w:t>书时间。</w:t>
            </w:r>
          </w:p>
          <w:p w14:paraId="7FD7E7FF">
            <w:pPr>
              <w:pStyle w:val="8"/>
              <w:spacing w:line="432" w:lineRule="auto"/>
              <w:ind w:left="113" w:right="109" w:firstLine="430"/>
            </w:pPr>
            <w:r>
              <w:rPr>
                <w:spacing w:val="9"/>
              </w:rPr>
              <w:t>（3）供应商应具备提供计量应急服务的能力，加急仪</w:t>
            </w:r>
            <w:r>
              <w:rPr>
                <w:spacing w:val="8"/>
              </w:rPr>
              <w:t>器设备在收到计量通知后 3 个工作日内完成计量工作并出具计量证书。</w:t>
            </w:r>
          </w:p>
          <w:p w14:paraId="4CE79C6F">
            <w:pPr>
              <w:pStyle w:val="8"/>
              <w:spacing w:before="1" w:line="227" w:lineRule="auto"/>
              <w:ind w:left="548"/>
            </w:pPr>
            <w:r>
              <w:rPr>
                <w:spacing w:val="5"/>
              </w:rPr>
              <w:t>15.公正性承诺需求：</w:t>
            </w:r>
          </w:p>
          <w:p w14:paraId="6203F35B">
            <w:pPr>
              <w:pStyle w:val="8"/>
              <w:spacing w:before="221" w:line="432" w:lineRule="auto"/>
              <w:ind w:left="118" w:right="109" w:firstLine="425"/>
            </w:pPr>
            <w:r>
              <w:rPr>
                <w:spacing w:val="12"/>
              </w:rPr>
              <w:t>（1）供应商应保证计量检定/校准技术服务质量满足所参考的计量检</w:t>
            </w:r>
            <w:r>
              <w:rPr>
                <w:spacing w:val="9"/>
              </w:rPr>
              <w:t>定规程、校准规范、检定/校准方法及其他约定</w:t>
            </w:r>
            <w:r>
              <w:rPr>
                <w:spacing w:val="8"/>
              </w:rPr>
              <w:t>的技术依据。</w:t>
            </w:r>
          </w:p>
          <w:p w14:paraId="6A81F6AC">
            <w:pPr>
              <w:pStyle w:val="8"/>
              <w:spacing w:line="432" w:lineRule="auto"/>
              <w:ind w:left="113" w:right="109" w:firstLine="429"/>
            </w:pPr>
            <w:r>
              <w:rPr>
                <w:spacing w:val="12"/>
              </w:rPr>
              <w:t>（2）供应商应保证计量检定/校准数据科学、公正、准确，并就计量</w:t>
            </w:r>
            <w:r>
              <w:rPr>
                <w:spacing w:val="8"/>
              </w:rPr>
              <w:t>校准有关内容接受采购人监督和咨询。</w:t>
            </w:r>
          </w:p>
          <w:p w14:paraId="420CEA24">
            <w:pPr>
              <w:pStyle w:val="8"/>
              <w:spacing w:before="1" w:line="226" w:lineRule="auto"/>
              <w:ind w:left="543"/>
            </w:pPr>
            <w:r>
              <w:rPr>
                <w:spacing w:val="9"/>
              </w:rPr>
              <w:t>（3）供应商应保证实验室无通报整改、暂</w:t>
            </w:r>
            <w:r>
              <w:rPr>
                <w:spacing w:val="8"/>
              </w:rPr>
              <w:t>停认可等不良记录。</w:t>
            </w:r>
          </w:p>
        </w:tc>
      </w:tr>
      <w:tr w14:paraId="3F758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358" w:type="dxa"/>
            <w:gridSpan w:val="4"/>
            <w:vAlign w:val="top"/>
          </w:tcPr>
          <w:p w14:paraId="0B3479C5">
            <w:pPr>
              <w:pStyle w:val="8"/>
              <w:spacing w:before="211" w:line="228" w:lineRule="auto"/>
              <w:ind w:left="124"/>
              <w:outlineLvl w:val="0"/>
            </w:pPr>
            <w:r>
              <w:rPr>
                <w:b/>
                <w:bCs/>
                <w:spacing w:val="5"/>
              </w:rPr>
              <w:t>▲二、商务条款</w:t>
            </w:r>
          </w:p>
        </w:tc>
      </w:tr>
    </w:tbl>
    <w:p w14:paraId="240D7284">
      <w:pPr>
        <w:pStyle w:val="3"/>
      </w:pPr>
    </w:p>
    <w:p w14:paraId="6062A675">
      <w:pPr>
        <w:sectPr>
          <w:footerReference r:id="rId8" w:type="default"/>
          <w:pgSz w:w="11906" w:h="16839"/>
          <w:pgMar w:top="1416" w:right="1408" w:bottom="1012" w:left="1134" w:header="0" w:footer="850" w:gutter="0"/>
          <w:pgNumType w:fmt="decimal"/>
          <w:cols w:space="720" w:num="1"/>
        </w:sectPr>
      </w:pPr>
    </w:p>
    <w:tbl>
      <w:tblPr>
        <w:tblStyle w:val="9"/>
        <w:tblW w:w="93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27"/>
        <w:gridCol w:w="7031"/>
      </w:tblGrid>
      <w:tr w14:paraId="5F965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7" w:hRule="atLeast"/>
        </w:trPr>
        <w:tc>
          <w:tcPr>
            <w:tcW w:w="2327" w:type="dxa"/>
            <w:vAlign w:val="top"/>
          </w:tcPr>
          <w:p w14:paraId="5A36042B">
            <w:pPr>
              <w:spacing w:line="296" w:lineRule="auto"/>
              <w:rPr>
                <w:rFonts w:ascii="Arial"/>
                <w:sz w:val="21"/>
              </w:rPr>
            </w:pPr>
          </w:p>
          <w:p w14:paraId="5D996780">
            <w:pPr>
              <w:spacing w:line="296" w:lineRule="auto"/>
              <w:rPr>
                <w:rFonts w:ascii="Arial"/>
                <w:sz w:val="21"/>
              </w:rPr>
            </w:pPr>
          </w:p>
          <w:p w14:paraId="55EAD163">
            <w:pPr>
              <w:pStyle w:val="8"/>
              <w:spacing w:before="65" w:line="228" w:lineRule="auto"/>
              <w:ind w:left="645"/>
            </w:pPr>
            <w:r>
              <w:rPr>
                <w:spacing w:val="7"/>
              </w:rPr>
              <w:t>合同签订期</w:t>
            </w:r>
          </w:p>
        </w:tc>
        <w:tc>
          <w:tcPr>
            <w:tcW w:w="7031" w:type="dxa"/>
            <w:vAlign w:val="top"/>
          </w:tcPr>
          <w:p w14:paraId="0CE9D222">
            <w:pPr>
              <w:pStyle w:val="8"/>
              <w:spacing w:before="192" w:line="227" w:lineRule="auto"/>
              <w:ind w:left="113"/>
            </w:pPr>
            <w:r>
              <w:rPr>
                <w:spacing w:val="3"/>
              </w:rPr>
              <w:t>合同签订期限：</w:t>
            </w:r>
            <w:r>
              <w:rPr>
                <w:spacing w:val="-36"/>
              </w:rPr>
              <w:t xml:space="preserve"> </w:t>
            </w:r>
            <w:r>
              <w:rPr>
                <w:spacing w:val="3"/>
              </w:rPr>
              <w:t>自成交</w:t>
            </w:r>
            <w:r>
              <w:rPr>
                <w:rFonts w:hint="eastAsia"/>
                <w:spacing w:val="3"/>
                <w:lang w:val="en-US" w:eastAsia="zh-CN"/>
              </w:rPr>
              <w:t>结果官网公示期满</w:t>
            </w:r>
            <w:r>
              <w:rPr>
                <w:spacing w:val="3"/>
              </w:rPr>
              <w:t>之日起</w:t>
            </w:r>
            <w:r>
              <w:rPr>
                <w:spacing w:val="-34"/>
              </w:rPr>
              <w:t xml:space="preserve"> </w:t>
            </w:r>
            <w:r>
              <w:rPr>
                <w:spacing w:val="3"/>
              </w:rPr>
              <w:t>25 日内。</w:t>
            </w:r>
          </w:p>
          <w:p w14:paraId="4544713B">
            <w:pPr>
              <w:pStyle w:val="8"/>
              <w:spacing w:before="223" w:line="395" w:lineRule="auto"/>
              <w:ind w:left="113" w:right="109" w:firstLine="1"/>
            </w:pPr>
            <w:r>
              <w:rPr>
                <w:rFonts w:hint="eastAsia"/>
                <w:spacing w:val="7"/>
              </w:rPr>
              <w:t>成交结果官网公示期满</w:t>
            </w:r>
            <w:r>
              <w:rPr>
                <w:spacing w:val="7"/>
              </w:rPr>
              <w:t>之日起</w:t>
            </w:r>
            <w:r>
              <w:rPr>
                <w:spacing w:val="-34"/>
              </w:rPr>
              <w:t xml:space="preserve"> </w:t>
            </w:r>
            <w:r>
              <w:rPr>
                <w:spacing w:val="7"/>
              </w:rPr>
              <w:t>25 日内成交人未与采购人签订</w:t>
            </w:r>
            <w:bookmarkStart w:id="0" w:name="_GoBack"/>
            <w:bookmarkEnd w:id="0"/>
            <w:r>
              <w:rPr>
                <w:spacing w:val="7"/>
              </w:rPr>
              <w:t>采购合</w:t>
            </w:r>
            <w:r>
              <w:rPr>
                <w:spacing w:val="6"/>
              </w:rPr>
              <w:t>同，视为</w:t>
            </w:r>
            <w:r>
              <w:rPr>
                <w:spacing w:val="7"/>
              </w:rPr>
              <w:t>放弃中标资格。</w:t>
            </w:r>
          </w:p>
        </w:tc>
      </w:tr>
      <w:tr w14:paraId="1F86A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2327" w:type="dxa"/>
            <w:vAlign w:val="top"/>
          </w:tcPr>
          <w:p w14:paraId="02D5078D">
            <w:pPr>
              <w:pStyle w:val="8"/>
              <w:spacing w:before="186" w:line="228" w:lineRule="auto"/>
              <w:ind w:left="750"/>
            </w:pPr>
            <w:r>
              <w:rPr>
                <w:spacing w:val="7"/>
              </w:rPr>
              <w:t>服务期限</w:t>
            </w:r>
          </w:p>
        </w:tc>
        <w:tc>
          <w:tcPr>
            <w:tcW w:w="7031" w:type="dxa"/>
            <w:vAlign w:val="top"/>
          </w:tcPr>
          <w:p w14:paraId="4CBB7FA0">
            <w:pPr>
              <w:pStyle w:val="8"/>
              <w:spacing w:before="119" w:line="228" w:lineRule="auto"/>
              <w:ind w:left="147"/>
            </w:pPr>
            <w:r>
              <w:rPr>
                <w:spacing w:val="1"/>
              </w:rPr>
              <w:t>自合同签订之日起</w:t>
            </w:r>
            <w:r>
              <w:rPr>
                <w:spacing w:val="-18"/>
              </w:rPr>
              <w:t xml:space="preserve"> </w:t>
            </w:r>
            <w:r>
              <w:rPr>
                <w:spacing w:val="1"/>
              </w:rPr>
              <w:t>1</w:t>
            </w:r>
            <w:r>
              <w:rPr>
                <w:spacing w:val="-39"/>
              </w:rPr>
              <w:t xml:space="preserve"> </w:t>
            </w:r>
            <w:r>
              <w:rPr>
                <w:spacing w:val="1"/>
              </w:rPr>
              <w:t>年。</w:t>
            </w:r>
          </w:p>
        </w:tc>
      </w:tr>
      <w:tr w14:paraId="2222E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2327" w:type="dxa"/>
            <w:vAlign w:val="top"/>
          </w:tcPr>
          <w:p w14:paraId="06C9EC03">
            <w:pPr>
              <w:pStyle w:val="8"/>
              <w:spacing w:before="223" w:line="228" w:lineRule="auto"/>
              <w:ind w:left="750"/>
            </w:pPr>
            <w:r>
              <w:rPr>
                <w:spacing w:val="7"/>
              </w:rPr>
              <w:t>服务地点</w:t>
            </w:r>
          </w:p>
        </w:tc>
        <w:tc>
          <w:tcPr>
            <w:tcW w:w="7031" w:type="dxa"/>
            <w:vAlign w:val="top"/>
          </w:tcPr>
          <w:p w14:paraId="16FB5213">
            <w:pPr>
              <w:pStyle w:val="8"/>
              <w:spacing w:before="223" w:line="227" w:lineRule="auto"/>
              <w:ind w:left="113"/>
            </w:pPr>
            <w:r>
              <w:rPr>
                <w:spacing w:val="8"/>
              </w:rPr>
              <w:t>广西</w:t>
            </w:r>
            <w:r>
              <w:rPr>
                <w:rFonts w:hint="eastAsia"/>
                <w:spacing w:val="8"/>
                <w:lang w:val="en-US" w:eastAsia="zh-CN"/>
              </w:rPr>
              <w:t>贵港市桂平市</w:t>
            </w:r>
            <w:r>
              <w:rPr>
                <w:spacing w:val="8"/>
              </w:rPr>
              <w:t>，采购人指定地点。</w:t>
            </w:r>
          </w:p>
        </w:tc>
      </w:tr>
      <w:tr w14:paraId="59436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2" w:hRule="atLeast"/>
        </w:trPr>
        <w:tc>
          <w:tcPr>
            <w:tcW w:w="2327" w:type="dxa"/>
            <w:vAlign w:val="top"/>
          </w:tcPr>
          <w:p w14:paraId="7C967363">
            <w:pPr>
              <w:spacing w:line="244" w:lineRule="auto"/>
              <w:rPr>
                <w:rFonts w:ascii="Arial"/>
                <w:sz w:val="21"/>
              </w:rPr>
            </w:pPr>
          </w:p>
          <w:p w14:paraId="4EC2B794">
            <w:pPr>
              <w:spacing w:line="244" w:lineRule="auto"/>
              <w:rPr>
                <w:rFonts w:ascii="Arial"/>
                <w:sz w:val="21"/>
              </w:rPr>
            </w:pPr>
          </w:p>
          <w:p w14:paraId="7B0E9826">
            <w:pPr>
              <w:spacing w:line="244" w:lineRule="auto"/>
              <w:rPr>
                <w:rFonts w:ascii="Arial"/>
                <w:sz w:val="21"/>
              </w:rPr>
            </w:pPr>
          </w:p>
          <w:p w14:paraId="328431BA">
            <w:pPr>
              <w:spacing w:line="245" w:lineRule="auto"/>
              <w:rPr>
                <w:rFonts w:ascii="Arial"/>
                <w:sz w:val="21"/>
              </w:rPr>
            </w:pPr>
          </w:p>
          <w:p w14:paraId="28E6CAA3">
            <w:pPr>
              <w:spacing w:line="245" w:lineRule="auto"/>
              <w:rPr>
                <w:rFonts w:ascii="Arial"/>
                <w:sz w:val="21"/>
              </w:rPr>
            </w:pPr>
          </w:p>
          <w:p w14:paraId="3FEFB92A">
            <w:pPr>
              <w:spacing w:line="245" w:lineRule="auto"/>
              <w:rPr>
                <w:rFonts w:ascii="Arial"/>
                <w:sz w:val="21"/>
              </w:rPr>
            </w:pPr>
          </w:p>
          <w:p w14:paraId="20117DA7">
            <w:pPr>
              <w:spacing w:line="245" w:lineRule="auto"/>
              <w:rPr>
                <w:rFonts w:ascii="Arial"/>
                <w:sz w:val="21"/>
              </w:rPr>
            </w:pPr>
          </w:p>
          <w:p w14:paraId="74923FF1">
            <w:pPr>
              <w:spacing w:line="245" w:lineRule="auto"/>
              <w:rPr>
                <w:rFonts w:ascii="Arial"/>
                <w:sz w:val="21"/>
              </w:rPr>
            </w:pPr>
          </w:p>
          <w:p w14:paraId="060562F4">
            <w:pPr>
              <w:spacing w:line="245" w:lineRule="auto"/>
              <w:rPr>
                <w:rFonts w:ascii="Arial"/>
                <w:sz w:val="21"/>
              </w:rPr>
            </w:pPr>
          </w:p>
          <w:p w14:paraId="1CDF1CD9">
            <w:pPr>
              <w:spacing w:line="245" w:lineRule="auto"/>
              <w:rPr>
                <w:rFonts w:ascii="Arial"/>
                <w:sz w:val="21"/>
              </w:rPr>
            </w:pPr>
          </w:p>
          <w:p w14:paraId="2FCA123A">
            <w:pPr>
              <w:pStyle w:val="8"/>
              <w:spacing w:before="65" w:line="226" w:lineRule="auto"/>
              <w:ind w:left="748"/>
            </w:pPr>
            <w:r>
              <w:rPr>
                <w:spacing w:val="7"/>
              </w:rPr>
              <w:t>报价要求</w:t>
            </w:r>
          </w:p>
        </w:tc>
        <w:tc>
          <w:tcPr>
            <w:tcW w:w="7031" w:type="dxa"/>
            <w:vAlign w:val="top"/>
          </w:tcPr>
          <w:p w14:paraId="0B4B4980">
            <w:pPr>
              <w:pStyle w:val="8"/>
              <w:spacing w:before="187" w:line="432" w:lineRule="auto"/>
              <w:ind w:left="113" w:right="107" w:firstLine="14"/>
            </w:pPr>
            <w:r>
              <w:rPr>
                <w:spacing w:val="12"/>
              </w:rPr>
              <w:t>1.供应商按《计量检测设备清单》逐项进行报价（详见</w:t>
            </w:r>
            <w:r>
              <w:rPr>
                <w:spacing w:val="11"/>
              </w:rPr>
              <w:t>报价明</w:t>
            </w:r>
            <w:r>
              <w:rPr>
                <w:spacing w:val="7"/>
              </w:rPr>
              <w:t>细表</w:t>
            </w:r>
            <w:r>
              <w:rPr>
                <w:spacing w:val="24"/>
              </w:rPr>
              <w:t>），</w:t>
            </w:r>
            <w:r>
              <w:rPr>
                <w:spacing w:val="7"/>
              </w:rPr>
              <w:t>如有缺项、漏项的视为响应无效。</w:t>
            </w:r>
          </w:p>
          <w:p w14:paraId="3BE78009">
            <w:pPr>
              <w:pStyle w:val="8"/>
              <w:spacing w:line="432" w:lineRule="auto"/>
              <w:ind w:left="112" w:right="107" w:firstLine="5"/>
            </w:pPr>
            <w:r>
              <w:rPr>
                <w:rFonts w:hint="eastAsia"/>
                <w:spacing w:val="12"/>
                <w:lang w:val="en-US" w:eastAsia="zh-CN"/>
              </w:rPr>
              <w:t>2</w:t>
            </w:r>
            <w:r>
              <w:rPr>
                <w:spacing w:val="12"/>
              </w:rPr>
              <w:t>.本项目报价包含本项目所有服务内容各种费用和售后服务、税金、现场</w:t>
            </w:r>
            <w:r>
              <w:rPr>
                <w:spacing w:val="13"/>
              </w:rPr>
              <w:t>计量检测服务、代送检服务费及其它交通费、人</w:t>
            </w:r>
            <w:r>
              <w:rPr>
                <w:spacing w:val="12"/>
              </w:rPr>
              <w:t>员差旅费、伙食补助费、</w:t>
            </w:r>
            <w:r>
              <w:rPr>
                <w:spacing w:val="9"/>
              </w:rPr>
              <w:t>出具检定、校准证书/报告、委托费等所有成本费用的总和，供应商不得以任何理由要求另外增加服务费或要求采购人另行支付其他任何费用。</w:t>
            </w:r>
          </w:p>
          <w:p w14:paraId="38BDF69B">
            <w:pPr>
              <w:pStyle w:val="8"/>
              <w:spacing w:line="226" w:lineRule="auto"/>
              <w:ind w:left="112"/>
            </w:pPr>
            <w:r>
              <w:rPr>
                <w:rFonts w:hint="eastAsia"/>
                <w:spacing w:val="8"/>
                <w:lang w:val="en-US" w:eastAsia="zh-CN"/>
              </w:rPr>
              <w:t>3</w:t>
            </w:r>
            <w:r>
              <w:rPr>
                <w:spacing w:val="8"/>
              </w:rPr>
              <w:t>.属于强制检定的设备、仪器的计量检测报价</w:t>
            </w:r>
            <w:r>
              <w:rPr>
                <w:spacing w:val="7"/>
              </w:rPr>
              <w:t>应为</w:t>
            </w:r>
            <w:r>
              <w:rPr>
                <w:spacing w:val="-35"/>
              </w:rPr>
              <w:t xml:space="preserve"> </w:t>
            </w:r>
            <w:r>
              <w:rPr>
                <w:spacing w:val="7"/>
              </w:rPr>
              <w:t>0</w:t>
            </w:r>
            <w:r>
              <w:rPr>
                <w:spacing w:val="-39"/>
              </w:rPr>
              <w:t xml:space="preserve"> </w:t>
            </w:r>
            <w:r>
              <w:rPr>
                <w:spacing w:val="7"/>
              </w:rPr>
              <w:t>元。</w:t>
            </w:r>
          </w:p>
        </w:tc>
      </w:tr>
      <w:tr w14:paraId="41397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7" w:hRule="atLeast"/>
        </w:trPr>
        <w:tc>
          <w:tcPr>
            <w:tcW w:w="2327" w:type="dxa"/>
            <w:vAlign w:val="top"/>
          </w:tcPr>
          <w:p w14:paraId="3335CD91">
            <w:pPr>
              <w:rPr>
                <w:rFonts w:ascii="Arial"/>
                <w:sz w:val="21"/>
              </w:rPr>
            </w:pPr>
          </w:p>
          <w:p w14:paraId="582BB9F3">
            <w:pPr>
              <w:rPr>
                <w:rFonts w:ascii="Arial"/>
                <w:sz w:val="21"/>
              </w:rPr>
            </w:pPr>
          </w:p>
          <w:p w14:paraId="6280EB70">
            <w:pPr>
              <w:rPr>
                <w:rFonts w:ascii="Arial"/>
                <w:sz w:val="21"/>
              </w:rPr>
            </w:pPr>
          </w:p>
          <w:p w14:paraId="4A13E196">
            <w:pPr>
              <w:rPr>
                <w:rFonts w:ascii="Arial"/>
                <w:sz w:val="21"/>
              </w:rPr>
            </w:pPr>
          </w:p>
          <w:p w14:paraId="2E9335B6">
            <w:pPr>
              <w:spacing w:line="241" w:lineRule="auto"/>
              <w:rPr>
                <w:rFonts w:ascii="Arial"/>
                <w:sz w:val="21"/>
              </w:rPr>
            </w:pPr>
          </w:p>
          <w:p w14:paraId="5F8103E7">
            <w:pPr>
              <w:spacing w:line="241" w:lineRule="auto"/>
              <w:rPr>
                <w:rFonts w:ascii="Arial"/>
                <w:sz w:val="21"/>
              </w:rPr>
            </w:pPr>
          </w:p>
          <w:p w14:paraId="7B1CA177">
            <w:pPr>
              <w:spacing w:line="241" w:lineRule="auto"/>
              <w:rPr>
                <w:rFonts w:ascii="Arial"/>
                <w:sz w:val="21"/>
              </w:rPr>
            </w:pPr>
          </w:p>
          <w:p w14:paraId="780A0060">
            <w:pPr>
              <w:spacing w:line="241" w:lineRule="auto"/>
              <w:rPr>
                <w:rFonts w:ascii="Arial"/>
                <w:sz w:val="21"/>
              </w:rPr>
            </w:pPr>
          </w:p>
          <w:p w14:paraId="21FFACAC">
            <w:pPr>
              <w:spacing w:line="241" w:lineRule="auto"/>
              <w:rPr>
                <w:rFonts w:ascii="Arial"/>
                <w:sz w:val="21"/>
              </w:rPr>
            </w:pPr>
          </w:p>
          <w:p w14:paraId="29812BA9">
            <w:pPr>
              <w:spacing w:line="241" w:lineRule="auto"/>
              <w:rPr>
                <w:rFonts w:ascii="Arial"/>
                <w:sz w:val="21"/>
              </w:rPr>
            </w:pPr>
          </w:p>
          <w:p w14:paraId="1E3F83DE">
            <w:pPr>
              <w:spacing w:line="241" w:lineRule="auto"/>
              <w:rPr>
                <w:rFonts w:ascii="Arial"/>
                <w:sz w:val="21"/>
              </w:rPr>
            </w:pPr>
          </w:p>
          <w:p w14:paraId="2E67BE5A">
            <w:pPr>
              <w:pStyle w:val="8"/>
              <w:spacing w:before="65" w:line="228" w:lineRule="auto"/>
              <w:ind w:left="750"/>
            </w:pPr>
            <w:r>
              <w:rPr>
                <w:spacing w:val="7"/>
              </w:rPr>
              <w:t>付款要求</w:t>
            </w:r>
          </w:p>
        </w:tc>
        <w:tc>
          <w:tcPr>
            <w:tcW w:w="7031" w:type="dxa"/>
            <w:vAlign w:val="top"/>
          </w:tcPr>
          <w:p w14:paraId="7D5FAC07">
            <w:pPr>
              <w:pStyle w:val="8"/>
              <w:spacing w:before="90" w:line="377" w:lineRule="auto"/>
              <w:ind w:left="113" w:right="115" w:firstLine="15"/>
            </w:pPr>
            <w:r>
              <w:rPr>
                <w:spacing w:val="9"/>
              </w:rPr>
              <w:t>1.当预计计量检测数量与实际计量检测数量不一致时，双方应</w:t>
            </w:r>
            <w:r>
              <w:rPr>
                <w:spacing w:val="8"/>
              </w:rPr>
              <w:t>根据实际计</w:t>
            </w:r>
            <w:r>
              <w:rPr>
                <w:spacing w:val="9"/>
              </w:rPr>
              <w:t>量检测数量结算，合同的最终结算金额按实际计量检定/校准设备台（</w:t>
            </w:r>
            <w:r>
              <w:rPr>
                <w:spacing w:val="8"/>
              </w:rPr>
              <w:t>套）数量×对应设备成交单价进行结算。</w:t>
            </w:r>
          </w:p>
          <w:p w14:paraId="3D9BCEA8">
            <w:pPr>
              <w:pStyle w:val="8"/>
              <w:spacing w:line="227" w:lineRule="auto"/>
              <w:ind w:left="115"/>
            </w:pPr>
            <w:r>
              <w:rPr>
                <w:spacing w:val="5"/>
              </w:rPr>
              <w:t>2.付款方式：</w:t>
            </w:r>
          </w:p>
          <w:p w14:paraId="1CB724D0">
            <w:pPr>
              <w:pStyle w:val="8"/>
              <w:spacing w:before="163" w:line="377" w:lineRule="auto"/>
              <w:ind w:left="112" w:right="55" w:firstLine="16"/>
            </w:pPr>
            <w:r>
              <w:rPr>
                <w:spacing w:val="9"/>
              </w:rPr>
              <w:t>1）</w:t>
            </w:r>
            <w:r>
              <w:rPr>
                <w:rFonts w:hint="eastAsia"/>
                <w:spacing w:val="9"/>
              </w:rPr>
              <w:t>完成全部工作内容并出具相应的全部证书后支付审批通过后一次性完成全部款项支付</w:t>
            </w:r>
            <w:r>
              <w:rPr>
                <w:rFonts w:hint="eastAsia"/>
                <w:spacing w:val="9"/>
                <w:lang w:eastAsia="zh-CN"/>
              </w:rPr>
              <w:t>。</w:t>
            </w:r>
          </w:p>
          <w:p w14:paraId="6937A36D">
            <w:pPr>
              <w:pStyle w:val="8"/>
              <w:spacing w:before="95" w:line="414" w:lineRule="auto"/>
              <w:ind w:left="113" w:right="109" w:firstLine="1"/>
            </w:pPr>
            <w:r>
              <w:rPr>
                <w:spacing w:val="9"/>
              </w:rPr>
              <w:t>2）发票要求：付款前中标人必须提供真实、有效、合法的正式发票，如中</w:t>
            </w:r>
            <w:r>
              <w:rPr>
                <w:spacing w:val="10"/>
              </w:rPr>
              <w:t>标人提供虚假发票，除须向采购人补开合法</w:t>
            </w:r>
            <w:r>
              <w:rPr>
                <w:spacing w:val="9"/>
              </w:rPr>
              <w:t>发票外，须赔偿采购人发票票</w:t>
            </w:r>
            <w:r>
              <w:rPr>
                <w:spacing w:val="10"/>
              </w:rPr>
              <w:t>面金额一倍的违约金，且采购人有权终止合</w:t>
            </w:r>
            <w:r>
              <w:rPr>
                <w:spacing w:val="9"/>
              </w:rPr>
              <w:t>同，中标人不得提出异议，因</w:t>
            </w:r>
            <w:r>
              <w:rPr>
                <w:spacing w:val="8"/>
              </w:rPr>
              <w:t>终止合同而产生的一切损失均由中标人承担。</w:t>
            </w:r>
          </w:p>
        </w:tc>
      </w:tr>
    </w:tbl>
    <w:p w14:paraId="5D40F022">
      <w:pPr>
        <w:pStyle w:val="3"/>
      </w:pPr>
    </w:p>
    <w:p w14:paraId="10EFE8BF">
      <w:pPr>
        <w:sectPr>
          <w:footerReference r:id="rId9" w:type="default"/>
          <w:pgSz w:w="11906" w:h="16839"/>
          <w:pgMar w:top="1416" w:right="1408" w:bottom="1012" w:left="1134" w:header="0" w:footer="850" w:gutter="0"/>
          <w:pgNumType w:fmt="decimal"/>
          <w:cols w:space="720" w:num="1"/>
        </w:sectPr>
      </w:pPr>
    </w:p>
    <w:tbl>
      <w:tblPr>
        <w:tblStyle w:val="9"/>
        <w:tblW w:w="93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27"/>
        <w:gridCol w:w="7031"/>
      </w:tblGrid>
      <w:tr w14:paraId="30743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5" w:hRule="atLeast"/>
        </w:trPr>
        <w:tc>
          <w:tcPr>
            <w:tcW w:w="2327" w:type="dxa"/>
            <w:vAlign w:val="top"/>
          </w:tcPr>
          <w:p w14:paraId="31651C93">
            <w:pPr>
              <w:spacing w:line="265" w:lineRule="auto"/>
              <w:rPr>
                <w:rFonts w:ascii="Arial"/>
                <w:sz w:val="21"/>
              </w:rPr>
            </w:pPr>
          </w:p>
          <w:p w14:paraId="148B996F">
            <w:pPr>
              <w:spacing w:line="265" w:lineRule="auto"/>
              <w:rPr>
                <w:rFonts w:ascii="Arial"/>
                <w:sz w:val="21"/>
              </w:rPr>
            </w:pPr>
          </w:p>
          <w:p w14:paraId="04B4A7EF">
            <w:pPr>
              <w:spacing w:line="265" w:lineRule="auto"/>
              <w:rPr>
                <w:rFonts w:ascii="Arial"/>
                <w:sz w:val="21"/>
              </w:rPr>
            </w:pPr>
          </w:p>
          <w:p w14:paraId="0CCCF2CF">
            <w:pPr>
              <w:spacing w:line="265" w:lineRule="auto"/>
              <w:rPr>
                <w:rFonts w:ascii="Arial"/>
                <w:sz w:val="21"/>
              </w:rPr>
            </w:pPr>
          </w:p>
          <w:p w14:paraId="1ED9BABB">
            <w:pPr>
              <w:spacing w:line="266" w:lineRule="auto"/>
              <w:rPr>
                <w:rFonts w:ascii="Arial"/>
                <w:sz w:val="21"/>
              </w:rPr>
            </w:pPr>
          </w:p>
          <w:p w14:paraId="5CFADFC3">
            <w:pPr>
              <w:spacing w:line="266" w:lineRule="auto"/>
              <w:rPr>
                <w:rFonts w:ascii="Arial"/>
                <w:sz w:val="21"/>
              </w:rPr>
            </w:pPr>
          </w:p>
          <w:p w14:paraId="30F1A147">
            <w:pPr>
              <w:spacing w:line="266" w:lineRule="auto"/>
              <w:rPr>
                <w:rFonts w:ascii="Arial"/>
                <w:sz w:val="21"/>
              </w:rPr>
            </w:pPr>
          </w:p>
          <w:p w14:paraId="49CBED51">
            <w:pPr>
              <w:spacing w:line="266" w:lineRule="auto"/>
              <w:rPr>
                <w:rFonts w:ascii="Arial"/>
                <w:sz w:val="21"/>
              </w:rPr>
            </w:pPr>
          </w:p>
          <w:p w14:paraId="04D17131">
            <w:pPr>
              <w:pStyle w:val="8"/>
              <w:spacing w:before="65" w:line="228" w:lineRule="auto"/>
              <w:ind w:left="540"/>
            </w:pPr>
            <w:r>
              <w:rPr>
                <w:spacing w:val="8"/>
              </w:rPr>
              <w:t>其他服务要求</w:t>
            </w:r>
          </w:p>
        </w:tc>
        <w:tc>
          <w:tcPr>
            <w:tcW w:w="7031" w:type="dxa"/>
            <w:vAlign w:val="top"/>
          </w:tcPr>
          <w:p w14:paraId="0C79635E">
            <w:pPr>
              <w:pStyle w:val="8"/>
              <w:spacing w:before="93" w:line="377" w:lineRule="auto"/>
              <w:ind w:left="113" w:right="203" w:firstLine="15"/>
            </w:pPr>
            <w:r>
              <w:rPr>
                <w:spacing w:val="9"/>
              </w:rPr>
              <w:t>1.强制检定计量器具必须按合同约定时间出具符合国家法律法</w:t>
            </w:r>
            <w:r>
              <w:rPr>
                <w:spacing w:val="8"/>
              </w:rPr>
              <w:t>规的且在当</w:t>
            </w:r>
            <w:r>
              <w:rPr>
                <w:spacing w:val="9"/>
              </w:rPr>
              <w:t>地县（市）级或上一级人民政府计量行政部门认可的检定证书。</w:t>
            </w:r>
          </w:p>
          <w:p w14:paraId="19F234A4">
            <w:pPr>
              <w:pStyle w:val="8"/>
              <w:spacing w:before="1" w:line="377" w:lineRule="auto"/>
              <w:ind w:left="136" w:right="203" w:hanging="21"/>
            </w:pPr>
            <w:r>
              <w:rPr>
                <w:spacing w:val="9"/>
              </w:rPr>
              <w:t>2.成交供应商不准在工作岗位上使用无检定合格印、证或者超过检定周期</w:t>
            </w:r>
            <w:r>
              <w:rPr>
                <w:spacing w:val="6"/>
              </w:rPr>
              <w:t>以及经检定不合格的计量器具。</w:t>
            </w:r>
          </w:p>
          <w:p w14:paraId="4FEDD1D0">
            <w:pPr>
              <w:pStyle w:val="8"/>
              <w:spacing w:line="226" w:lineRule="auto"/>
              <w:ind w:left="117"/>
            </w:pPr>
            <w:r>
              <w:rPr>
                <w:spacing w:val="9"/>
              </w:rPr>
              <w:t>3.供应商具备完成检定、校准项目的实验室和仪器设备</w:t>
            </w:r>
            <w:r>
              <w:rPr>
                <w:spacing w:val="8"/>
              </w:rPr>
              <w:t>及技术人员。</w:t>
            </w:r>
          </w:p>
          <w:p w14:paraId="509F2AE2">
            <w:pPr>
              <w:pStyle w:val="8"/>
              <w:spacing w:before="161" w:line="377" w:lineRule="auto"/>
              <w:ind w:left="126" w:right="203" w:hanging="14"/>
            </w:pPr>
            <w:r>
              <w:rPr>
                <w:spacing w:val="9"/>
              </w:rPr>
              <w:t>4.开展检测工作时，成交供应商须建立详细仪器检测记录，且报告须注明</w:t>
            </w:r>
            <w:r>
              <w:rPr>
                <w:spacing w:val="8"/>
              </w:rPr>
              <w:t>院区名称、科室名称和设备相关信息便于采购人存档备查。</w:t>
            </w:r>
          </w:p>
          <w:p w14:paraId="04A81476">
            <w:pPr>
              <w:pStyle w:val="8"/>
              <w:spacing w:before="1" w:line="376" w:lineRule="auto"/>
              <w:ind w:left="114" w:right="238" w:firstLine="2"/>
            </w:pPr>
            <w:r>
              <w:rPr>
                <w:spacing w:val="8"/>
              </w:rPr>
              <w:t>5.提供上门送检服务，即需送外检测的仪器设备，运费、路费、停车费、</w:t>
            </w:r>
            <w:r>
              <w:rPr>
                <w:spacing w:val="7"/>
              </w:rPr>
              <w:t>人工费应包含在报价中。</w:t>
            </w:r>
          </w:p>
          <w:p w14:paraId="42635F76">
            <w:pPr>
              <w:pStyle w:val="8"/>
              <w:spacing w:line="380" w:lineRule="auto"/>
              <w:ind w:left="112" w:right="203" w:firstLine="2"/>
            </w:pPr>
            <w:r>
              <w:rPr>
                <w:spacing w:val="9"/>
              </w:rPr>
              <w:t>6.其余服务要求必须按照最新的《中华人民共和国计量法》、《计量法实</w:t>
            </w:r>
            <w:r>
              <w:rPr>
                <w:spacing w:val="8"/>
              </w:rPr>
              <w:t>施细则》及其相关条文解释执行。</w:t>
            </w:r>
          </w:p>
        </w:tc>
      </w:tr>
      <w:tr w14:paraId="27CD6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4" w:hRule="atLeast"/>
        </w:trPr>
        <w:tc>
          <w:tcPr>
            <w:tcW w:w="2327" w:type="dxa"/>
            <w:vAlign w:val="top"/>
          </w:tcPr>
          <w:p w14:paraId="2AD8FC4F">
            <w:pPr>
              <w:spacing w:line="247" w:lineRule="auto"/>
              <w:rPr>
                <w:rFonts w:ascii="Arial"/>
                <w:sz w:val="21"/>
              </w:rPr>
            </w:pPr>
          </w:p>
          <w:p w14:paraId="39C672BF">
            <w:pPr>
              <w:spacing w:line="247" w:lineRule="auto"/>
              <w:rPr>
                <w:rFonts w:ascii="Arial"/>
                <w:sz w:val="21"/>
              </w:rPr>
            </w:pPr>
          </w:p>
          <w:p w14:paraId="4C5EAD5A">
            <w:pPr>
              <w:spacing w:line="247" w:lineRule="auto"/>
              <w:rPr>
                <w:rFonts w:ascii="Arial"/>
                <w:sz w:val="21"/>
              </w:rPr>
            </w:pPr>
          </w:p>
          <w:p w14:paraId="17F13CFE">
            <w:pPr>
              <w:spacing w:line="248" w:lineRule="auto"/>
              <w:rPr>
                <w:rFonts w:ascii="Arial"/>
                <w:sz w:val="21"/>
              </w:rPr>
            </w:pPr>
          </w:p>
          <w:p w14:paraId="3900DCDE">
            <w:pPr>
              <w:spacing w:line="248" w:lineRule="auto"/>
              <w:rPr>
                <w:rFonts w:ascii="Arial"/>
                <w:sz w:val="21"/>
              </w:rPr>
            </w:pPr>
          </w:p>
          <w:p w14:paraId="400AFE1F">
            <w:pPr>
              <w:spacing w:line="248" w:lineRule="auto"/>
              <w:rPr>
                <w:rFonts w:ascii="Arial"/>
                <w:sz w:val="21"/>
              </w:rPr>
            </w:pPr>
          </w:p>
          <w:p w14:paraId="2421A4B3">
            <w:pPr>
              <w:spacing w:line="248" w:lineRule="auto"/>
              <w:rPr>
                <w:rFonts w:ascii="Arial"/>
                <w:sz w:val="21"/>
              </w:rPr>
            </w:pPr>
          </w:p>
          <w:p w14:paraId="2AFE81C1">
            <w:pPr>
              <w:spacing w:line="248" w:lineRule="auto"/>
              <w:rPr>
                <w:rFonts w:ascii="Arial"/>
                <w:sz w:val="21"/>
              </w:rPr>
            </w:pPr>
          </w:p>
          <w:p w14:paraId="0BA26613">
            <w:pPr>
              <w:pStyle w:val="8"/>
              <w:spacing w:before="65" w:line="228" w:lineRule="auto"/>
              <w:ind w:left="540"/>
            </w:pPr>
            <w:r>
              <w:rPr>
                <w:spacing w:val="8"/>
              </w:rPr>
              <w:t>其他商务要求</w:t>
            </w:r>
          </w:p>
        </w:tc>
        <w:tc>
          <w:tcPr>
            <w:tcW w:w="7031" w:type="dxa"/>
            <w:vAlign w:val="top"/>
          </w:tcPr>
          <w:p w14:paraId="2654B85B">
            <w:pPr>
              <w:pStyle w:val="8"/>
              <w:spacing w:before="187" w:line="432" w:lineRule="auto"/>
              <w:ind w:left="113" w:right="107" w:firstLine="15"/>
            </w:pPr>
            <w:r>
              <w:rPr>
                <w:spacing w:val="9"/>
              </w:rPr>
              <w:t>1、知识产权：采购人在中华人民共和国境内使用</w:t>
            </w:r>
            <w:r>
              <w:rPr>
                <w:spacing w:val="8"/>
              </w:rPr>
              <w:t>承担机构提供的项目成果</w:t>
            </w:r>
            <w:r>
              <w:rPr>
                <w:spacing w:val="13"/>
              </w:rPr>
              <w:t>与服务时免受第三方提出的侵犯其专利权或其</w:t>
            </w:r>
            <w:r>
              <w:rPr>
                <w:spacing w:val="12"/>
              </w:rPr>
              <w:t>它知识产权的起诉。如果第</w:t>
            </w:r>
            <w:r>
              <w:rPr>
                <w:spacing w:val="9"/>
              </w:rPr>
              <w:t>三方提出侵权指控，成交人应承担由此而引起的一切法律责任和费用。</w:t>
            </w:r>
          </w:p>
          <w:p w14:paraId="6809CFA9">
            <w:pPr>
              <w:pStyle w:val="8"/>
              <w:spacing w:line="226" w:lineRule="auto"/>
              <w:ind w:left="115"/>
            </w:pPr>
            <w:r>
              <w:rPr>
                <w:spacing w:val="8"/>
              </w:rPr>
              <w:t>2、项目成果使用权：归属采购人。</w:t>
            </w:r>
          </w:p>
          <w:p w14:paraId="503165EB">
            <w:pPr>
              <w:pStyle w:val="8"/>
              <w:spacing w:before="222" w:line="432" w:lineRule="auto"/>
              <w:ind w:left="112" w:right="55" w:firstLine="5"/>
            </w:pPr>
            <w:r>
              <w:rPr>
                <w:spacing w:val="9"/>
              </w:rPr>
              <w:t>3、成交供应商须承诺按照符合现行国家相关标准、行业标准、地方标准或</w:t>
            </w:r>
            <w:r>
              <w:rPr>
                <w:spacing w:val="8"/>
              </w:rPr>
              <w:t>者其他标准、规范有关文件业务要求执行。服从采购人对项</w:t>
            </w:r>
            <w:r>
              <w:rPr>
                <w:spacing w:val="7"/>
              </w:rPr>
              <w:t>目实施的安排，</w:t>
            </w:r>
            <w:r>
              <w:rPr>
                <w:spacing w:val="8"/>
              </w:rPr>
              <w:t>遵守有关规定，接受项目监管。</w:t>
            </w:r>
          </w:p>
          <w:p w14:paraId="0A6C43F9">
            <w:pPr>
              <w:pStyle w:val="8"/>
              <w:spacing w:before="1" w:line="396" w:lineRule="auto"/>
              <w:ind w:left="112" w:right="107"/>
            </w:pPr>
            <w:r>
              <w:rPr>
                <w:spacing w:val="9"/>
              </w:rPr>
              <w:t>4、成交供应商必须按照采购文件、采购人要求以及响应文件响应的承诺提</w:t>
            </w:r>
            <w:r>
              <w:rPr>
                <w:spacing w:val="7"/>
              </w:rPr>
              <w:t>供优质的项目服务。</w:t>
            </w:r>
          </w:p>
        </w:tc>
      </w:tr>
    </w:tbl>
    <w:p w14:paraId="759AD558">
      <w:pPr>
        <w:sectPr>
          <w:footerReference r:id="rId10" w:type="default"/>
          <w:pgSz w:w="11906" w:h="16839"/>
          <w:pgMar w:top="1416" w:right="1408" w:bottom="1012" w:left="1134" w:header="0" w:footer="850" w:gutter="0"/>
          <w:pgNumType w:fmt="decimal"/>
          <w:cols w:space="720" w:num="1"/>
        </w:sectPr>
      </w:pPr>
    </w:p>
    <w:p w14:paraId="47BC542A"/>
    <w:sectPr>
      <w:footerReference r:id="rId11"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4328E">
    <w:pPr>
      <w:spacing w:line="176" w:lineRule="auto"/>
      <w:ind w:left="4611"/>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E4738">
    <w:pPr>
      <w:spacing w:line="176" w:lineRule="auto"/>
      <w:ind w:left="4732"/>
      <w:rPr>
        <w:rFonts w:ascii="Times New Roman" w:hAnsi="Times New Roman" w:eastAsia="Times New Roman" w:cs="Times New Roman"/>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21BFB">
    <w:pPr>
      <w:spacing w:line="176" w:lineRule="auto"/>
      <w:ind w:left="4732"/>
      <w:rPr>
        <w:rFonts w:ascii="Times New Roman" w:hAnsi="Times New Roman" w:eastAsia="Times New Roman" w:cs="Times New Roman"/>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1C2C2">
    <w:pPr>
      <w:spacing w:line="176" w:lineRule="auto"/>
      <w:ind w:left="4732"/>
      <w:rPr>
        <w:rFonts w:ascii="Times New Roman" w:hAnsi="Times New Roman" w:eastAsia="Times New Roman" w:cs="Times New Roman"/>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7FCE3">
    <w:pPr>
      <w:spacing w:line="176" w:lineRule="auto"/>
      <w:ind w:left="4736"/>
      <w:rPr>
        <w:rFonts w:ascii="Times New Roman" w:hAnsi="Times New Roman" w:eastAsia="Times New Roman" w:cs="Times New Roman"/>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1B854">
    <w:pPr>
      <w:spacing w:line="176" w:lineRule="auto"/>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l</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4F156">
    <w:pPr>
      <w:spacing w:line="176" w:lineRule="auto"/>
      <w:ind w:left="4736"/>
      <w:rPr>
        <w:rFonts w:ascii="Times New Roman" w:hAnsi="Times New Roman" w:eastAsia="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D1590"/>
    <w:rsid w:val="03DD27F4"/>
    <w:rsid w:val="127C7468"/>
    <w:rsid w:val="23314AA5"/>
    <w:rsid w:val="33C66EA0"/>
    <w:rsid w:val="4D767180"/>
    <w:rsid w:val="4FEC11B7"/>
    <w:rsid w:val="778F3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Table Text"/>
    <w:basedOn w:val="1"/>
    <w:semiHidden/>
    <w:qFormat/>
    <w:uiPriority w:val="0"/>
    <w:rPr>
      <w:rFonts w:ascii="宋体" w:hAnsi="宋体" w:eastAsia="宋体" w:cs="宋体"/>
      <w:sz w:val="20"/>
      <w:szCs w:val="20"/>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3255</Words>
  <Characters>3302</Characters>
  <Lines>0</Lines>
  <Paragraphs>0</Paragraphs>
  <TotalTime>101</TotalTime>
  <ScaleCrop>false</ScaleCrop>
  <LinksUpToDate>false</LinksUpToDate>
  <CharactersWithSpaces>3344</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2026-09-07T02:25:00Z</dcterms:created>
  <dc:creator>gp</dc:creator>
  <cp:lastModifiedBy>莫心烦</cp:lastModifiedBy>
  <dcterms:modified xsi:type="dcterms:W3CDTF">2026-09-23T07:08:25Z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KSOTemplateDocerSaveRecord">
    <vt:lpwstr>eyJoZGlkIjoiOTc0YWRkMmVjMzZlYWFjNDAxM2E4YjI4ZjU2Yzk3ZGIiLCJ1c2VySWQiOiI0NDg1MDY2MTUifQ==</vt:lpwstr>
  </property>
  <property fmtid="{D5CDD505-2E9C-101B-9397-08002B2CF9AE}" pid="4" name="ICV">
    <vt:lpwstr>578F664721E2429789004A1111338AE8_12</vt:lpwstr>
  </property>
</Properties>
</file>