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39" w:type="dxa"/>
        <w:tblInd w:w="-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39"/>
        <w:gridCol w:w="7741"/>
        <w:gridCol w:w="875"/>
      </w:tblGrid>
      <w:tr w14:paraId="3CE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84" w:type="dxa"/>
          </w:tcPr>
          <w:p w14:paraId="06B3DD6A">
            <w:pPr>
              <w:rPr>
                <w:rFonts w:hint="eastAsia" w:ascii="黑体" w:hAnsi="黑体" w:eastAsia="黑体" w:cs="黑体"/>
                <w:sz w:val="32"/>
                <w:szCs w:val="32"/>
                <w:vertAlign w:val="baseline"/>
              </w:rPr>
            </w:pPr>
            <w:bookmarkStart w:id="0" w:name="_GoBack"/>
            <w:bookmarkEnd w:id="0"/>
            <w:r>
              <w:rPr>
                <w:rFonts w:hint="eastAsia" w:ascii="黑体" w:hAnsi="黑体" w:eastAsia="黑体" w:cs="黑体"/>
                <w:sz w:val="32"/>
                <w:szCs w:val="32"/>
                <w:vertAlign w:val="baseline"/>
              </w:rPr>
              <w:t>序号</w:t>
            </w:r>
          </w:p>
        </w:tc>
        <w:tc>
          <w:tcPr>
            <w:tcW w:w="1139" w:type="dxa"/>
          </w:tcPr>
          <w:p w14:paraId="162F813D">
            <w:pPr>
              <w:rPr>
                <w:rFonts w:hint="eastAsia" w:ascii="黑体" w:hAnsi="黑体" w:eastAsia="黑体" w:cs="黑体"/>
                <w:sz w:val="32"/>
                <w:szCs w:val="32"/>
                <w:vertAlign w:val="baseline"/>
              </w:rPr>
            </w:pPr>
            <w:r>
              <w:rPr>
                <w:rFonts w:hint="eastAsia" w:ascii="黑体" w:hAnsi="黑体" w:eastAsia="黑体" w:cs="黑体"/>
                <w:sz w:val="32"/>
                <w:szCs w:val="32"/>
                <w:vertAlign w:val="baseline"/>
              </w:rPr>
              <w:t>项目</w:t>
            </w:r>
          </w:p>
        </w:tc>
        <w:tc>
          <w:tcPr>
            <w:tcW w:w="7741" w:type="dxa"/>
          </w:tcPr>
          <w:p w14:paraId="36A6BD19">
            <w:pPr>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具体技术(参数)要求</w:t>
            </w:r>
          </w:p>
        </w:tc>
        <w:tc>
          <w:tcPr>
            <w:tcW w:w="875" w:type="dxa"/>
          </w:tcPr>
          <w:p w14:paraId="61F4F26A">
            <w:pPr>
              <w:rPr>
                <w:rFonts w:hint="eastAsia" w:ascii="黑体" w:hAnsi="黑体" w:eastAsia="黑体" w:cs="黑体"/>
                <w:sz w:val="32"/>
                <w:szCs w:val="32"/>
                <w:vertAlign w:val="baseline"/>
              </w:rPr>
            </w:pPr>
            <w:r>
              <w:rPr>
                <w:rFonts w:hint="eastAsia" w:ascii="黑体" w:hAnsi="黑体" w:eastAsia="黑体" w:cs="黑体"/>
                <w:sz w:val="32"/>
                <w:szCs w:val="32"/>
                <w:vertAlign w:val="baseline"/>
              </w:rPr>
              <w:t>备注</w:t>
            </w:r>
          </w:p>
        </w:tc>
      </w:tr>
      <w:tr w14:paraId="203F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84" w:type="dxa"/>
          </w:tcPr>
          <w:p w14:paraId="55EC1C4C">
            <w:pPr>
              <w:rPr>
                <w:rFonts w:hint="eastAsia" w:eastAsiaTheme="minorEastAsia"/>
                <w:vertAlign w:val="baseline"/>
                <w:lang w:val="en-US" w:eastAsia="zh-CN"/>
              </w:rPr>
            </w:pPr>
            <w:r>
              <w:rPr>
                <w:rFonts w:hint="eastAsia"/>
                <w:vertAlign w:val="baseline"/>
                <w:lang w:val="en-US" w:eastAsia="zh-CN"/>
              </w:rPr>
              <w:t>一</w:t>
            </w:r>
          </w:p>
        </w:tc>
        <w:tc>
          <w:tcPr>
            <w:tcW w:w="1139" w:type="dxa"/>
          </w:tcPr>
          <w:p w14:paraId="310645F8">
            <w:pPr>
              <w:rPr>
                <w:vertAlign w:val="baseline"/>
              </w:rPr>
            </w:pPr>
            <w:r>
              <w:rPr>
                <w:rFonts w:hint="eastAsia"/>
                <w:vertAlign w:val="baseline"/>
              </w:rPr>
              <w:t>服务区域</w:t>
            </w:r>
          </w:p>
        </w:tc>
        <w:tc>
          <w:tcPr>
            <w:tcW w:w="7741" w:type="dxa"/>
          </w:tcPr>
          <w:p w14:paraId="1BD00012">
            <w:pPr>
              <w:rPr>
                <w:vertAlign w:val="baseline"/>
              </w:rPr>
            </w:pPr>
            <w:r>
              <w:rPr>
                <w:rFonts w:ascii="宋体" w:hAnsi="宋体" w:eastAsia="宋体" w:cs="宋体"/>
                <w:sz w:val="24"/>
                <w:szCs w:val="24"/>
              </w:rPr>
              <w:t>桂平市人民医院总院、江北院区、二门诊及龙门工业区综合门诊部所管辖范围。</w:t>
            </w:r>
          </w:p>
        </w:tc>
        <w:tc>
          <w:tcPr>
            <w:tcW w:w="875" w:type="dxa"/>
          </w:tcPr>
          <w:p w14:paraId="1872C7C9">
            <w:pPr>
              <w:rPr>
                <w:vertAlign w:val="baseline"/>
              </w:rPr>
            </w:pPr>
          </w:p>
        </w:tc>
      </w:tr>
      <w:tr w14:paraId="035D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4" w:type="dxa"/>
          </w:tcPr>
          <w:p w14:paraId="2C2001EB">
            <w:pPr>
              <w:rPr>
                <w:rFonts w:hint="eastAsia" w:eastAsiaTheme="minorEastAsia"/>
                <w:vertAlign w:val="baseline"/>
                <w:lang w:val="en-US" w:eastAsia="zh-CN"/>
              </w:rPr>
            </w:pPr>
            <w:r>
              <w:rPr>
                <w:rFonts w:hint="eastAsia"/>
                <w:vertAlign w:val="baseline"/>
                <w:lang w:val="en-US" w:eastAsia="zh-CN"/>
              </w:rPr>
              <w:t>二</w:t>
            </w:r>
          </w:p>
        </w:tc>
        <w:tc>
          <w:tcPr>
            <w:tcW w:w="1139" w:type="dxa"/>
          </w:tcPr>
          <w:p w14:paraId="36F3F08C">
            <w:pPr>
              <w:rPr>
                <w:vertAlign w:val="baseline"/>
              </w:rPr>
            </w:pPr>
            <w:r>
              <w:rPr>
                <w:rFonts w:hint="eastAsia"/>
                <w:vertAlign w:val="baseline"/>
              </w:rPr>
              <w:t>服务内容</w:t>
            </w:r>
          </w:p>
        </w:tc>
        <w:tc>
          <w:tcPr>
            <w:tcW w:w="7741" w:type="dxa"/>
          </w:tcPr>
          <w:p w14:paraId="28397A65">
            <w:pPr>
              <w:rPr>
                <w:vertAlign w:val="baseline"/>
              </w:rPr>
            </w:pPr>
            <w:r>
              <w:rPr>
                <w:rFonts w:ascii="宋体" w:hAnsi="宋体" w:eastAsia="宋体" w:cs="宋体"/>
                <w:sz w:val="24"/>
                <w:szCs w:val="24"/>
              </w:rPr>
              <w:t>消杀防治种类含老鼠、蟑螂、蚊子、苍蝇、白蚁、隐翅虫、驱蛇等各类虫害。</w:t>
            </w:r>
          </w:p>
        </w:tc>
        <w:tc>
          <w:tcPr>
            <w:tcW w:w="875" w:type="dxa"/>
          </w:tcPr>
          <w:p w14:paraId="6E7E7333">
            <w:pPr>
              <w:rPr>
                <w:vertAlign w:val="baseline"/>
              </w:rPr>
            </w:pPr>
          </w:p>
        </w:tc>
      </w:tr>
      <w:tr w14:paraId="05F6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84" w:type="dxa"/>
            <w:vMerge w:val="restart"/>
          </w:tcPr>
          <w:p w14:paraId="234DE81D">
            <w:pPr>
              <w:rPr>
                <w:rFonts w:hint="eastAsia" w:eastAsiaTheme="minorEastAsia"/>
                <w:vertAlign w:val="baseline"/>
                <w:lang w:val="en-US" w:eastAsia="zh-CN"/>
              </w:rPr>
            </w:pPr>
            <w:r>
              <w:rPr>
                <w:rFonts w:hint="eastAsia"/>
                <w:vertAlign w:val="baseline"/>
                <w:lang w:val="en-US" w:eastAsia="zh-CN"/>
              </w:rPr>
              <w:t>三</w:t>
            </w:r>
          </w:p>
        </w:tc>
        <w:tc>
          <w:tcPr>
            <w:tcW w:w="1139" w:type="dxa"/>
            <w:vMerge w:val="restart"/>
          </w:tcPr>
          <w:p w14:paraId="1E11168A">
            <w:pPr>
              <w:rPr>
                <w:vertAlign w:val="baseline"/>
              </w:rPr>
            </w:pPr>
            <w:r>
              <w:rPr>
                <w:rFonts w:hint="eastAsia"/>
                <w:vertAlign w:val="baseline"/>
              </w:rPr>
              <w:t>服务技术要求</w:t>
            </w:r>
          </w:p>
        </w:tc>
        <w:tc>
          <w:tcPr>
            <w:tcW w:w="7741" w:type="dxa"/>
          </w:tcPr>
          <w:p w14:paraId="30F3B769">
            <w:pPr>
              <w:rPr>
                <w:vertAlign w:val="baseline"/>
              </w:rPr>
            </w:pPr>
            <w:r>
              <w:rPr>
                <w:rFonts w:hint="eastAsia"/>
                <w:vertAlign w:val="baseline"/>
              </w:rPr>
              <w:t>（一）治理频次：灭治老鼠每月一次；蚊虫及苍蝇每月一次（4-10月、每月二次）；下水道及污水井灭治蟑螂每月一次，</w:t>
            </w:r>
            <w:r>
              <w:rPr>
                <w:rFonts w:hint="eastAsia"/>
                <w:vertAlign w:val="baseline"/>
                <w:lang w:eastAsia="zh-CN"/>
              </w:rPr>
              <w:t>建筑物</w:t>
            </w:r>
            <w:r>
              <w:rPr>
                <w:rFonts w:hint="eastAsia"/>
                <w:vertAlign w:val="baseline"/>
              </w:rPr>
              <w:t>室内灭治蟑螂每月一次；</w:t>
            </w:r>
            <w:r>
              <w:rPr>
                <w:rFonts w:ascii="宋体" w:hAnsi="宋体" w:eastAsia="宋体" w:cs="宋体"/>
                <w:sz w:val="24"/>
                <w:szCs w:val="24"/>
              </w:rPr>
              <w:t>灭治白蚁隐翅虫等各类虫害每月一次全面检查治理</w:t>
            </w:r>
            <w:r>
              <w:rPr>
                <w:rFonts w:hint="eastAsia"/>
                <w:vertAlign w:val="baseline"/>
              </w:rPr>
              <w:t>，全年包治。(注：以上可根据实际情况增加治理次数)</w:t>
            </w:r>
          </w:p>
        </w:tc>
        <w:tc>
          <w:tcPr>
            <w:tcW w:w="875" w:type="dxa"/>
          </w:tcPr>
          <w:p w14:paraId="2BD0875B">
            <w:pPr>
              <w:rPr>
                <w:vertAlign w:val="baseline"/>
              </w:rPr>
            </w:pPr>
          </w:p>
        </w:tc>
      </w:tr>
      <w:tr w14:paraId="723E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4" w:type="dxa"/>
            <w:vMerge w:val="continue"/>
          </w:tcPr>
          <w:p w14:paraId="4749886B">
            <w:pPr>
              <w:rPr>
                <w:rFonts w:hint="eastAsia"/>
                <w:vertAlign w:val="baseline"/>
                <w:lang w:val="en-US" w:eastAsia="zh-CN"/>
              </w:rPr>
            </w:pPr>
          </w:p>
        </w:tc>
        <w:tc>
          <w:tcPr>
            <w:tcW w:w="1139" w:type="dxa"/>
            <w:vMerge w:val="continue"/>
          </w:tcPr>
          <w:p w14:paraId="543FDC9A">
            <w:pPr>
              <w:rPr>
                <w:vertAlign w:val="baseline"/>
              </w:rPr>
            </w:pPr>
          </w:p>
        </w:tc>
        <w:tc>
          <w:tcPr>
            <w:tcW w:w="7741" w:type="dxa"/>
          </w:tcPr>
          <w:p w14:paraId="536335D6">
            <w:pPr>
              <w:rPr>
                <w:rFonts w:hint="eastAsia"/>
                <w:vertAlign w:val="baseline"/>
              </w:rPr>
            </w:pPr>
            <w:r>
              <w:rPr>
                <w:rFonts w:hint="eastAsia"/>
                <w:vertAlign w:val="baseline"/>
              </w:rPr>
              <w:t>（二）治理要求</w:t>
            </w:r>
          </w:p>
          <w:p w14:paraId="6E90F1B9">
            <w:pPr>
              <w:rPr>
                <w:rFonts w:hint="eastAsia"/>
                <w:vertAlign w:val="baseline"/>
              </w:rPr>
            </w:pPr>
            <w:r>
              <w:rPr>
                <w:rFonts w:hint="eastAsia"/>
                <w:vertAlign w:val="baseline"/>
              </w:rPr>
              <w:t>1.老鼠防治</w:t>
            </w:r>
          </w:p>
          <w:p w14:paraId="4B2EB953">
            <w:pPr>
              <w:rPr>
                <w:rFonts w:hint="eastAsia"/>
                <w:vertAlign w:val="baseline"/>
              </w:rPr>
            </w:pPr>
            <w:r>
              <w:rPr>
                <w:rFonts w:hint="eastAsia"/>
                <w:vertAlign w:val="baseline"/>
              </w:rPr>
              <w:t>①在建筑物周围、绿化带、垃圾场、地下室等重点防鼠地方按照老鼠活动范围密度设置“鼠盒”。所放置的鼠盒均需上锁并必须设有标识和编号(警告危险标志)，并记录数量且用平面图标示出摆放位置；鼠盒有损坏或更新时并及时做出相应的更新。</w:t>
            </w:r>
          </w:p>
          <w:p w14:paraId="0F91E50C">
            <w:pPr>
              <w:rPr>
                <w:rFonts w:hint="eastAsia"/>
                <w:vertAlign w:val="baseline"/>
              </w:rPr>
            </w:pPr>
            <w:r>
              <w:rPr>
                <w:rFonts w:hint="eastAsia"/>
                <w:vertAlign w:val="baseline"/>
              </w:rPr>
              <w:t>②每月至少1次对所有户外安装的鼠盒、所有室内置放的捕鼠设施进行检查，定期对易受鼠害场所的地方如门、窗、下水道、通风孔外围的洞道等进行检查，鉴定鼠害情况，并做好详细记录。</w:t>
            </w:r>
          </w:p>
          <w:p w14:paraId="792472BF">
            <w:pPr>
              <w:rPr>
                <w:rFonts w:hint="eastAsia"/>
                <w:vertAlign w:val="baseline"/>
              </w:rPr>
            </w:pPr>
            <w:r>
              <w:rPr>
                <w:rFonts w:hint="eastAsia"/>
                <w:vertAlign w:val="baseline"/>
              </w:rPr>
              <w:t>③未发生盗食、潮湿等情况时，鼠饵必须每月更换一次(2-4月份应适量增加更换次数)。</w:t>
            </w:r>
          </w:p>
          <w:p w14:paraId="5CA61A2B">
            <w:pPr>
              <w:rPr>
                <w:rFonts w:hint="eastAsia"/>
                <w:vertAlign w:val="baseline"/>
              </w:rPr>
            </w:pPr>
            <w:r>
              <w:rPr>
                <w:rFonts w:hint="eastAsia"/>
                <w:vertAlign w:val="baseline"/>
              </w:rPr>
              <w:t>④对鼠密度(每季度做一次用粉迹法)进行监测至少1次，测试方法按国家相关的标准进行，如测试结果超过标准，应主动联系我方相关负责人，并增加对该区域的灭鼠频率。</w:t>
            </w:r>
          </w:p>
          <w:p w14:paraId="3BA3BE6B">
            <w:pPr>
              <w:rPr>
                <w:rFonts w:hint="eastAsia"/>
                <w:vertAlign w:val="baseline"/>
              </w:rPr>
            </w:pPr>
            <w:r>
              <w:rPr>
                <w:rFonts w:hint="eastAsia"/>
                <w:vertAlign w:val="baseline"/>
              </w:rPr>
              <w:t>2.蟑螂治理</w:t>
            </w:r>
          </w:p>
          <w:p w14:paraId="0EEA6083">
            <w:pPr>
              <w:rPr>
                <w:rFonts w:hint="eastAsia"/>
                <w:vertAlign w:val="baseline"/>
              </w:rPr>
            </w:pPr>
            <w:r>
              <w:rPr>
                <w:rFonts w:hint="eastAsia"/>
                <w:vertAlign w:val="baseline"/>
              </w:rPr>
              <w:t>① 每月对所有潜在栖息地进行检查，从而鉴定虫害程度。在所有发现已受害虫影响之地，将采用非化学或化学重点处理方法，即时杀灭。</w:t>
            </w:r>
          </w:p>
          <w:p w14:paraId="44B416A5">
            <w:pPr>
              <w:rPr>
                <w:rFonts w:hint="eastAsia"/>
                <w:vertAlign w:val="baseline"/>
              </w:rPr>
            </w:pPr>
            <w:r>
              <w:rPr>
                <w:rFonts w:hint="eastAsia"/>
                <w:vertAlign w:val="baseline"/>
              </w:rPr>
              <w:t>②检查建筑物内外，发现美洲大蠊、德国小蠊在下水道或沟渠附近活动时，将采用热烟雾器械进行下水道灭爬虫及其它滋生害虫处理。</w:t>
            </w:r>
          </w:p>
          <w:p w14:paraId="27CA8643">
            <w:pPr>
              <w:rPr>
                <w:rFonts w:hint="eastAsia"/>
                <w:vertAlign w:val="baseline"/>
              </w:rPr>
            </w:pPr>
            <w:r>
              <w:rPr>
                <w:rFonts w:hint="eastAsia"/>
                <w:vertAlign w:val="baseline"/>
              </w:rPr>
              <w:t>③在室内发现活跃及严重程度蟑螂出没地点，将采用背负式喷雾器进行地角线处理，从而达致以最小污染处理受到影响之地点，获取最有效之控制。</w:t>
            </w:r>
          </w:p>
          <w:p w14:paraId="6DC26576">
            <w:pPr>
              <w:rPr>
                <w:rFonts w:hint="eastAsia"/>
                <w:vertAlign w:val="baseline"/>
              </w:rPr>
            </w:pPr>
            <w:r>
              <w:rPr>
                <w:rFonts w:hint="eastAsia"/>
                <w:vertAlign w:val="baseline"/>
              </w:rPr>
              <w:t>3.蚊子苍蝇治理</w:t>
            </w:r>
          </w:p>
          <w:p w14:paraId="13C26493">
            <w:pPr>
              <w:rPr>
                <w:rFonts w:hint="eastAsia"/>
                <w:vertAlign w:val="baseline"/>
              </w:rPr>
            </w:pPr>
            <w:r>
              <w:rPr>
                <w:rFonts w:hint="eastAsia"/>
                <w:vertAlign w:val="baseline"/>
              </w:rPr>
              <w:t>①每月至少1次检查所有户外潜在滋生地，鉴定害虫程度。在所有发现受害虫影响的地点，采用非化学或“化学重点处理”的方法，使用适合的器械提供即时灭除，同时根据需要可采用“化学方法”进行长效灭蚊灭蝇处理。</w:t>
            </w:r>
          </w:p>
          <w:p w14:paraId="570E633F">
            <w:pPr>
              <w:rPr>
                <w:rFonts w:hint="eastAsia"/>
                <w:vertAlign w:val="baseline"/>
              </w:rPr>
            </w:pPr>
            <w:r>
              <w:rPr>
                <w:rFonts w:hint="eastAsia"/>
                <w:vertAlign w:val="baseline"/>
              </w:rPr>
              <w:t>②检查并向我院提出所有缺乏、不足或所需改进的防治虫害的设施及器具(如安装纱门、加装灭蝇灯等）建议，并通知我方进行安装,以确保达到最有效的防治害虫入侵的效果。</w:t>
            </w:r>
          </w:p>
          <w:p w14:paraId="5395D3B5">
            <w:pPr>
              <w:rPr>
                <w:rFonts w:hint="eastAsia"/>
                <w:vertAlign w:val="baseline"/>
              </w:rPr>
            </w:pPr>
            <w:r>
              <w:rPr>
                <w:rFonts w:hint="eastAsia"/>
                <w:vertAlign w:val="baseline"/>
              </w:rPr>
              <w:t>③为减小对室内区域造成不必要的污染，影响就诊或住院人员，室内灭蚊灭蝇前与科室护长及相关人员许可方可安排对室内进行空间喷雾，以控制其中活跃的害虫。</w:t>
            </w:r>
          </w:p>
          <w:p w14:paraId="681AB55D">
            <w:pPr>
              <w:rPr>
                <w:rFonts w:hint="eastAsia"/>
                <w:vertAlign w:val="baseline"/>
              </w:rPr>
            </w:pPr>
            <w:r>
              <w:rPr>
                <w:rFonts w:hint="eastAsia"/>
                <w:vertAlign w:val="baseline"/>
              </w:rPr>
              <w:t>4.其它虫类的防治及应急处置</w:t>
            </w:r>
          </w:p>
          <w:p w14:paraId="3CB9B7F7">
            <w:pPr>
              <w:rPr>
                <w:rFonts w:hint="eastAsia"/>
                <w:vertAlign w:val="baseline"/>
              </w:rPr>
            </w:pPr>
            <w:r>
              <w:rPr>
                <w:rFonts w:hint="eastAsia"/>
                <w:vertAlign w:val="baseline"/>
              </w:rPr>
              <w:t>① 乙方应根据天气情况随时采取必要措施对蛇类进行驱离，其他虫类根据发生情况随时处理，并提供防治方案。</w:t>
            </w:r>
          </w:p>
          <w:p w14:paraId="17AE40F9">
            <w:pPr>
              <w:rPr>
                <w:vertAlign w:val="baseline"/>
              </w:rPr>
            </w:pPr>
            <w:r>
              <w:rPr>
                <w:rFonts w:hint="eastAsia"/>
                <w:vertAlign w:val="baseline"/>
              </w:rPr>
              <w:t>② 除上述在规定的时间内达到消杀频次外，还应承担在合同期间遇灾害、突发公共卫生事件应急消杀和重大活动的除“四害”消杀。</w:t>
            </w:r>
          </w:p>
        </w:tc>
        <w:tc>
          <w:tcPr>
            <w:tcW w:w="875" w:type="dxa"/>
          </w:tcPr>
          <w:p w14:paraId="354CF377">
            <w:pPr>
              <w:rPr>
                <w:vertAlign w:val="baseline"/>
              </w:rPr>
            </w:pPr>
          </w:p>
        </w:tc>
      </w:tr>
      <w:tr w14:paraId="57B8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884" w:type="dxa"/>
            <w:vMerge w:val="continue"/>
          </w:tcPr>
          <w:p w14:paraId="0C38F955">
            <w:pPr>
              <w:rPr>
                <w:rFonts w:hint="eastAsia"/>
                <w:vertAlign w:val="baseline"/>
                <w:lang w:val="en-US" w:eastAsia="zh-CN"/>
              </w:rPr>
            </w:pPr>
          </w:p>
        </w:tc>
        <w:tc>
          <w:tcPr>
            <w:tcW w:w="1139" w:type="dxa"/>
            <w:vMerge w:val="continue"/>
          </w:tcPr>
          <w:p w14:paraId="4E3B7797">
            <w:pPr>
              <w:rPr>
                <w:vertAlign w:val="baseline"/>
              </w:rPr>
            </w:pPr>
          </w:p>
        </w:tc>
        <w:tc>
          <w:tcPr>
            <w:tcW w:w="7741" w:type="dxa"/>
          </w:tcPr>
          <w:p w14:paraId="6AC8660D">
            <w:pPr>
              <w:rPr>
                <w:rFonts w:hint="eastAsia"/>
                <w:vertAlign w:val="baseline"/>
              </w:rPr>
            </w:pPr>
            <w:r>
              <w:rPr>
                <w:rFonts w:hint="eastAsia"/>
                <w:vertAlign w:val="baseline"/>
              </w:rPr>
              <w:t>（三）服务质量</w:t>
            </w:r>
          </w:p>
          <w:p w14:paraId="4BC8E815">
            <w:pPr>
              <w:rPr>
                <w:rFonts w:hint="eastAsia"/>
                <w:vertAlign w:val="baseline"/>
              </w:rPr>
            </w:pPr>
            <w:r>
              <w:rPr>
                <w:rFonts w:hint="eastAsia"/>
                <w:vertAlign w:val="baseline"/>
              </w:rPr>
              <w:t>1.灭鼠质量要求</w:t>
            </w:r>
          </w:p>
          <w:p w14:paraId="0C8D3A40">
            <w:pPr>
              <w:rPr>
                <w:rFonts w:hint="eastAsia"/>
                <w:vertAlign w:val="baseline"/>
              </w:rPr>
            </w:pPr>
            <w:r>
              <w:rPr>
                <w:rFonts w:hint="eastAsia"/>
                <w:vertAlign w:val="baseline"/>
              </w:rPr>
              <w:t>① 15平方米标准房间布放20×20厘米滑石粉块两块，一夜后阳性粉块不超过3%;有鼠洞、鼠粪、鼠咬等痕迹的房间不超过2%;重点单位防鼠设施不合格处不超过3%。</w:t>
            </w:r>
          </w:p>
          <w:p w14:paraId="717452EF">
            <w:pPr>
              <w:rPr>
                <w:rFonts w:hint="eastAsia"/>
                <w:vertAlign w:val="baseline"/>
              </w:rPr>
            </w:pPr>
            <w:r>
              <w:rPr>
                <w:rFonts w:hint="eastAsia"/>
                <w:vertAlign w:val="baseline"/>
              </w:rPr>
              <w:t>② 不同类型的外环境累计2000米，鼠迹不超过3处。</w:t>
            </w:r>
          </w:p>
          <w:p w14:paraId="13DECF5E">
            <w:pPr>
              <w:rPr>
                <w:rFonts w:hint="eastAsia"/>
                <w:vertAlign w:val="baseline"/>
              </w:rPr>
            </w:pPr>
            <w:r>
              <w:rPr>
                <w:rFonts w:hint="eastAsia"/>
                <w:vertAlign w:val="baseline"/>
              </w:rPr>
              <w:t>2.灭蚊质量要求</w:t>
            </w:r>
          </w:p>
          <w:p w14:paraId="5ABF2273">
            <w:pPr>
              <w:rPr>
                <w:rFonts w:hint="eastAsia"/>
                <w:vertAlign w:val="baseline"/>
              </w:rPr>
            </w:pPr>
            <w:r>
              <w:rPr>
                <w:rFonts w:hint="eastAsia"/>
                <w:vertAlign w:val="baseline"/>
              </w:rPr>
              <w:t>① 单位内外环境各种存水容器和积水中，蚊幼虫及蛹的阳性率不超过3%。</w:t>
            </w:r>
          </w:p>
          <w:p w14:paraId="072B9665">
            <w:pPr>
              <w:rPr>
                <w:rFonts w:hint="eastAsia"/>
                <w:vertAlign w:val="baseline"/>
              </w:rPr>
            </w:pPr>
            <w:r>
              <w:rPr>
                <w:rFonts w:hint="eastAsia"/>
                <w:vertAlign w:val="baseline"/>
              </w:rPr>
              <w:t>② 用500ml收集勺采集区内大中型水体中的蚊幼虫或蛹阳性率不超过3%,阳性勺内幼虫或蛹的平均数不超5过只。</w:t>
            </w:r>
          </w:p>
          <w:p w14:paraId="78B5112F">
            <w:pPr>
              <w:rPr>
                <w:rFonts w:hint="eastAsia"/>
                <w:vertAlign w:val="baseline"/>
              </w:rPr>
            </w:pPr>
            <w:r>
              <w:rPr>
                <w:rFonts w:hint="eastAsia"/>
                <w:vertAlign w:val="baseline"/>
              </w:rPr>
              <w:t>③ 特殊场所白天人诱蚊30分钟，平均每人次诱获成蚊数不超过3只。</w:t>
            </w:r>
          </w:p>
          <w:p w14:paraId="141E3896">
            <w:pPr>
              <w:rPr>
                <w:rFonts w:hint="eastAsia"/>
                <w:vertAlign w:val="baseline"/>
              </w:rPr>
            </w:pPr>
            <w:r>
              <w:rPr>
                <w:rFonts w:hint="eastAsia"/>
                <w:vertAlign w:val="baseline"/>
              </w:rPr>
              <w:t>3.灭蝇质量要求</w:t>
            </w:r>
          </w:p>
          <w:p w14:paraId="39D43094">
            <w:pPr>
              <w:rPr>
                <w:rFonts w:hint="eastAsia"/>
                <w:vertAlign w:val="baseline"/>
              </w:rPr>
            </w:pPr>
            <w:r>
              <w:rPr>
                <w:rFonts w:hint="eastAsia"/>
                <w:vertAlign w:val="baseline"/>
              </w:rPr>
              <w:t>① 重点单位有蝇房间不超过1%,其它单位不超过2%,平均每阳性房间不超过2只；重点单位防蝇设施不合格房间不超过3%。</w:t>
            </w:r>
          </w:p>
          <w:p w14:paraId="4E0A2166">
            <w:pPr>
              <w:rPr>
                <w:rFonts w:hint="eastAsia"/>
                <w:vertAlign w:val="baseline"/>
              </w:rPr>
            </w:pPr>
            <w:r>
              <w:rPr>
                <w:rFonts w:hint="eastAsia"/>
                <w:vertAlign w:val="baseline"/>
              </w:rPr>
              <w:t>② 蝇类滋生地得到有效治理，幼虫和蛹的检出率不超过2%。</w:t>
            </w:r>
          </w:p>
          <w:p w14:paraId="0004D6DF">
            <w:pPr>
              <w:rPr>
                <w:rFonts w:hint="eastAsia"/>
                <w:vertAlign w:val="baseline"/>
              </w:rPr>
            </w:pPr>
            <w:r>
              <w:rPr>
                <w:rFonts w:hint="eastAsia"/>
                <w:vertAlign w:val="baseline"/>
              </w:rPr>
              <w:t>4.灭蟑螂质量要求</w:t>
            </w:r>
          </w:p>
          <w:p w14:paraId="5029E337">
            <w:pPr>
              <w:rPr>
                <w:rFonts w:hint="eastAsia"/>
                <w:vertAlign w:val="baseline"/>
              </w:rPr>
            </w:pPr>
            <w:r>
              <w:rPr>
                <w:rFonts w:hint="eastAsia"/>
                <w:vertAlign w:val="baseline"/>
              </w:rPr>
              <w:t>① 室内有爬虫成虫或若虫阳性房间不超过3%,平均每间房大蠊不超过3只小蠊不超过6只。</w:t>
            </w:r>
          </w:p>
          <w:p w14:paraId="4F35FF1B">
            <w:pPr>
              <w:rPr>
                <w:rFonts w:hint="eastAsia"/>
                <w:vertAlign w:val="baseline"/>
              </w:rPr>
            </w:pPr>
            <w:r>
              <w:rPr>
                <w:rFonts w:hint="eastAsia"/>
                <w:vertAlign w:val="baseline"/>
              </w:rPr>
              <w:t>② 活爬虫卵鞘房间不超过2%,平均每间房不超过4只。爬虫粪便蜕皮等蟑迹的房间不超过5%。</w:t>
            </w:r>
          </w:p>
          <w:p w14:paraId="0C7E808C">
            <w:pPr>
              <w:rPr>
                <w:rFonts w:hint="eastAsia"/>
                <w:vertAlign w:val="baseline"/>
              </w:rPr>
            </w:pPr>
            <w:r>
              <w:rPr>
                <w:rFonts w:hint="eastAsia"/>
                <w:vertAlign w:val="baseline"/>
              </w:rPr>
              <w:t>5.药物和器械安全要求</w:t>
            </w:r>
          </w:p>
          <w:p w14:paraId="1CF2A5F1">
            <w:pPr>
              <w:rPr>
                <w:rFonts w:hint="eastAsia"/>
                <w:vertAlign w:val="baseline"/>
              </w:rPr>
            </w:pPr>
            <w:r>
              <w:rPr>
                <w:rFonts w:hint="eastAsia"/>
                <w:vertAlign w:val="baseline"/>
              </w:rPr>
              <w:t>①乙方确保使用的药物为合法合规的国家许可的卫生杀虫剂。严禁把农用杀虫剂用于卫生害虫的防治。</w:t>
            </w:r>
          </w:p>
          <w:p w14:paraId="28C9DDC1">
            <w:pPr>
              <w:rPr>
                <w:rFonts w:hint="eastAsia"/>
                <w:vertAlign w:val="baseline"/>
              </w:rPr>
            </w:pPr>
            <w:r>
              <w:rPr>
                <w:rFonts w:hint="eastAsia"/>
                <w:vertAlign w:val="baseline"/>
              </w:rPr>
              <w:t>②用于卫生害虫防制的药物,高效低毒、平安、对人员及环境无害。</w:t>
            </w:r>
          </w:p>
          <w:p w14:paraId="66191CAE">
            <w:pPr>
              <w:rPr>
                <w:rFonts w:hint="eastAsia"/>
                <w:vertAlign w:val="baseline"/>
              </w:rPr>
            </w:pPr>
            <w:r>
              <w:rPr>
                <w:rFonts w:hint="eastAsia"/>
                <w:vertAlign w:val="baseline"/>
              </w:rPr>
              <w:t>③ 因乙方使用的药剂而发生环境污染、伤害人体，及给医院或第三方造成的所有经济损失，均由乙方承担。</w:t>
            </w:r>
          </w:p>
          <w:p w14:paraId="5CDE5188">
            <w:pPr>
              <w:rPr>
                <w:vertAlign w:val="baseline"/>
              </w:rPr>
            </w:pPr>
            <w:r>
              <w:rPr>
                <w:rFonts w:hint="eastAsia"/>
                <w:vertAlign w:val="baseline"/>
              </w:rPr>
              <w:t>乙方及其服务人员在药械安全管控方面，必须符合国家标准。</w:t>
            </w:r>
          </w:p>
        </w:tc>
        <w:tc>
          <w:tcPr>
            <w:tcW w:w="875" w:type="dxa"/>
          </w:tcPr>
          <w:p w14:paraId="34BCD212">
            <w:pPr>
              <w:rPr>
                <w:vertAlign w:val="baseline"/>
              </w:rPr>
            </w:pPr>
          </w:p>
        </w:tc>
      </w:tr>
      <w:tr w14:paraId="58AF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884" w:type="dxa"/>
          </w:tcPr>
          <w:p w14:paraId="2E31D529">
            <w:pPr>
              <w:rPr>
                <w:rFonts w:hint="default"/>
                <w:vertAlign w:val="baseline"/>
                <w:lang w:val="en-US" w:eastAsia="zh-CN"/>
              </w:rPr>
            </w:pPr>
            <w:r>
              <w:rPr>
                <w:rFonts w:hint="eastAsia"/>
                <w:vertAlign w:val="baseline"/>
                <w:lang w:val="en-US" w:eastAsia="zh-CN"/>
              </w:rPr>
              <w:t>四</w:t>
            </w:r>
          </w:p>
        </w:tc>
        <w:tc>
          <w:tcPr>
            <w:tcW w:w="1139" w:type="dxa"/>
          </w:tcPr>
          <w:p w14:paraId="7EECCCC9">
            <w:pPr>
              <w:rPr>
                <w:rFonts w:hint="eastAsia" w:eastAsiaTheme="minorEastAsia"/>
                <w:vertAlign w:val="baseline"/>
                <w:lang w:val="en-US" w:eastAsia="zh-CN"/>
              </w:rPr>
            </w:pPr>
            <w:r>
              <w:rPr>
                <w:rFonts w:hint="eastAsia"/>
                <w:vertAlign w:val="baseline"/>
                <w:lang w:val="en-US" w:eastAsia="zh-CN"/>
              </w:rPr>
              <w:t>其他</w:t>
            </w:r>
          </w:p>
        </w:tc>
        <w:tc>
          <w:tcPr>
            <w:tcW w:w="7741" w:type="dxa"/>
          </w:tcPr>
          <w:p w14:paraId="07860F4D">
            <w:pPr>
              <w:numPr>
                <w:ilvl w:val="0"/>
                <w:numId w:val="1"/>
              </w:numPr>
              <w:rPr>
                <w:rFonts w:hint="eastAsia"/>
                <w:vertAlign w:val="baseline"/>
                <w:lang w:val="en-US" w:eastAsia="zh-CN"/>
              </w:rPr>
            </w:pPr>
            <w:r>
              <w:rPr>
                <w:rFonts w:hint="eastAsia"/>
                <w:vertAlign w:val="baseline"/>
                <w:lang w:val="en-US" w:eastAsia="zh-CN"/>
              </w:rPr>
              <w:t>本项目采购两年，每年控制单价不超过60000.00元，两年总价不超过120000.00元。遇特殊情况（如服务期内遇基孔肯雅热、登革热等疫情或政治任务要求），每次控制价不超过2500元。</w:t>
            </w:r>
          </w:p>
          <w:p w14:paraId="12D020AE">
            <w:pPr>
              <w:numPr>
                <w:ilvl w:val="0"/>
                <w:numId w:val="1"/>
              </w:numPr>
              <w:rPr>
                <w:rFonts w:hint="default"/>
                <w:vertAlign w:val="baseline"/>
                <w:lang w:val="en-US" w:eastAsia="zh-CN"/>
              </w:rPr>
            </w:pPr>
            <w:r>
              <w:rPr>
                <w:rFonts w:hint="eastAsia"/>
                <w:vertAlign w:val="baseline"/>
                <w:lang w:val="en-US" w:eastAsia="zh-CN"/>
              </w:rPr>
              <w:t>付款方式：（1）服务费用按月支付。如果病媒防制未达到验收标准和要求，不予付款。（2）成交供应商须在每月5日前提供相应票据、验收资料、实际完成的工作量给采购人，采购人经单位支付审批后支付成交供应商上个月的服务费，如成交供应商违反合同有关规定被罚款，则采购人按扣除罚款后余额支付成交供应商。</w:t>
            </w:r>
          </w:p>
          <w:p w14:paraId="076DAF6C">
            <w:pPr>
              <w:numPr>
                <w:ilvl w:val="0"/>
                <w:numId w:val="1"/>
              </w:numPr>
              <w:rPr>
                <w:rFonts w:hint="default"/>
                <w:vertAlign w:val="baseline"/>
                <w:lang w:val="en-US" w:eastAsia="zh-CN"/>
              </w:rPr>
            </w:pPr>
            <w:r>
              <w:rPr>
                <w:rFonts w:hint="default"/>
                <w:vertAlign w:val="baseline"/>
                <w:lang w:val="en-US" w:eastAsia="zh-CN"/>
              </w:rPr>
              <w:t>报价要求:按总价报价的报价方式报价。投标人报价包括完成本项目规定的工作所承担的全部费用、利润、税金、政策性文件规定及合同包含内的所有风险、责任等各项应有费用,费用不管是否在投标人报价书中单列,均视为投标总价中己包括该费用</w:t>
            </w:r>
            <w:r>
              <w:rPr>
                <w:rFonts w:hint="eastAsia"/>
                <w:vertAlign w:val="baseline"/>
                <w:lang w:val="en-US" w:eastAsia="zh-CN"/>
              </w:rPr>
              <w:t>。</w:t>
            </w:r>
          </w:p>
        </w:tc>
        <w:tc>
          <w:tcPr>
            <w:tcW w:w="875" w:type="dxa"/>
          </w:tcPr>
          <w:p w14:paraId="6A3056AB">
            <w:pPr>
              <w:rPr>
                <w:rFonts w:hint="eastAsia" w:eastAsiaTheme="minorEastAsia"/>
                <w:vertAlign w:val="baseline"/>
                <w:lang w:val="en-US" w:eastAsia="zh-CN"/>
              </w:rPr>
            </w:pPr>
          </w:p>
        </w:tc>
      </w:tr>
    </w:tbl>
    <w:p w14:paraId="53E3CF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E80E9"/>
    <w:multiLevelType w:val="singleLevel"/>
    <w:tmpl w:val="C5DE80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C6EEA"/>
    <w:rsid w:val="27E30892"/>
    <w:rsid w:val="3AE15107"/>
    <w:rsid w:val="5CE76DCD"/>
    <w:rsid w:val="62F853A6"/>
    <w:rsid w:val="71AB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1984</Words>
  <Characters>2047</Characters>
  <Lines>0</Lines>
  <Paragraphs>0</Paragraphs>
  <TotalTime>25</TotalTime>
  <ScaleCrop>false</ScaleCrop>
  <LinksUpToDate>false</LinksUpToDate>
  <CharactersWithSpaces>2060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2026-02-02T00:06:00Z</dcterms:created>
  <dc:creator>gp</dc:creator>
  <cp:lastModifiedBy>莫心烦</cp:lastModifiedBy>
  <dcterms:modified xsi:type="dcterms:W3CDTF">2026-02-02T07:19:46Z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eyJoZGlkIjoiOTc0YWRkMmVjMzZlYWFjNDAxM2E4YjI4ZjU2Yzk3ZGIiLCJ1c2VySWQiOiI0NDg1MDY2MTUifQ==</vt:lpwstr>
  </property>
  <property fmtid="{D5CDD505-2E9C-101B-9397-08002B2CF9AE}" pid="4" name="ICV">
    <vt:lpwstr>1560E3D2AEB049BAB1A06B0E98C175BD_12</vt:lpwstr>
  </property>
</Properties>
</file>