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宋体"/>
          <w:b/>
          <w:bCs/>
          <w:color w:val="000000"/>
          <w:sz w:val="32"/>
          <w:szCs w:val="32"/>
          <w:highlight w:val="none"/>
          <w:u w:val="none"/>
          <w:lang w:val="en-US" w:eastAsia="zh-CN"/>
        </w:rPr>
      </w:pPr>
      <w:r>
        <w:rPr>
          <w:rFonts w:hint="eastAsia" w:ascii="宋体" w:hAnsi="宋体" w:eastAsia="宋体" w:cs="宋体"/>
          <w:b/>
          <w:bCs/>
          <w:color w:val="000000"/>
          <w:sz w:val="32"/>
          <w:szCs w:val="32"/>
          <w:highlight w:val="none"/>
          <w:u w:val="none"/>
          <w:lang w:val="en-US" w:eastAsia="zh-CN"/>
        </w:rPr>
        <w:t>桂平市人民医院医学影像科申请紧急采购一批放射防护用品磋商综合评分标准</w:t>
      </w:r>
    </w:p>
    <w:tbl>
      <w:tblPr>
        <w:tblStyle w:val="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895"/>
        <w:gridCol w:w="1078"/>
        <w:gridCol w:w="6341"/>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gridSpan w:val="2"/>
            <w:noWrap w:val="0"/>
            <w:vAlign w:val="center"/>
          </w:tcPr>
          <w:p>
            <w:pPr>
              <w:adjustRightInd w:val="0"/>
              <w:spacing w:line="360" w:lineRule="auto"/>
              <w:jc w:val="center"/>
              <w:textAlignment w:val="baseline"/>
              <w:rPr>
                <w:rFonts w:ascii="宋体" w:hAnsi="宋体"/>
                <w:color w:val="000000"/>
                <w:szCs w:val="21"/>
                <w:highlight w:val="none"/>
              </w:rPr>
            </w:pPr>
            <w:r>
              <w:rPr>
                <w:rFonts w:hint="eastAsia" w:ascii="宋体" w:hAnsi="宋体"/>
                <w:b/>
                <w:color w:val="000000"/>
                <w:szCs w:val="21"/>
                <w:highlight w:val="none"/>
              </w:rPr>
              <w:t>序号</w:t>
            </w:r>
          </w:p>
        </w:tc>
        <w:tc>
          <w:tcPr>
            <w:tcW w:w="1078" w:type="dxa"/>
            <w:noWrap w:val="0"/>
            <w:vAlign w:val="center"/>
          </w:tcPr>
          <w:p>
            <w:pPr>
              <w:adjustRightInd w:val="0"/>
              <w:spacing w:line="360" w:lineRule="auto"/>
              <w:jc w:val="center"/>
              <w:textAlignment w:val="baseline"/>
              <w:rPr>
                <w:rFonts w:ascii="宋体" w:hAnsi="宋体"/>
                <w:color w:val="000000"/>
                <w:szCs w:val="21"/>
                <w:highlight w:val="none"/>
              </w:rPr>
            </w:pPr>
            <w:r>
              <w:rPr>
                <w:rFonts w:hint="eastAsia" w:ascii="宋体" w:hAnsi="宋体"/>
                <w:b/>
                <w:color w:val="000000"/>
                <w:szCs w:val="21"/>
                <w:highlight w:val="none"/>
              </w:rPr>
              <w:t>评审因素</w:t>
            </w:r>
          </w:p>
        </w:tc>
        <w:tc>
          <w:tcPr>
            <w:tcW w:w="6341" w:type="dxa"/>
            <w:noWrap w:val="0"/>
            <w:vAlign w:val="center"/>
          </w:tcPr>
          <w:p>
            <w:pPr>
              <w:adjustRightInd w:val="0"/>
              <w:spacing w:line="360" w:lineRule="auto"/>
              <w:jc w:val="center"/>
              <w:textAlignment w:val="baseline"/>
              <w:rPr>
                <w:rFonts w:ascii="宋体" w:hAnsi="宋体"/>
                <w:color w:val="000000"/>
                <w:szCs w:val="21"/>
                <w:highlight w:val="none"/>
              </w:rPr>
            </w:pPr>
            <w:r>
              <w:rPr>
                <w:rFonts w:hint="eastAsia" w:ascii="宋体" w:hAnsi="宋体"/>
                <w:b/>
                <w:color w:val="000000"/>
                <w:szCs w:val="21"/>
                <w:highlight w:val="none"/>
                <w:lang w:eastAsia="zh-CN"/>
              </w:rPr>
              <w:t>评审</w:t>
            </w:r>
            <w:r>
              <w:rPr>
                <w:rFonts w:hint="eastAsia" w:ascii="宋体" w:hAnsi="宋体"/>
                <w:b/>
                <w:color w:val="000000"/>
                <w:szCs w:val="21"/>
                <w:highlight w:val="none"/>
              </w:rPr>
              <w:t>标准</w:t>
            </w:r>
          </w:p>
        </w:tc>
        <w:tc>
          <w:tcPr>
            <w:tcW w:w="816" w:type="dxa"/>
            <w:noWrap w:val="0"/>
            <w:vAlign w:val="center"/>
          </w:tcPr>
          <w:p>
            <w:pPr>
              <w:adjustRightInd w:val="0"/>
              <w:spacing w:line="360" w:lineRule="auto"/>
              <w:jc w:val="center"/>
              <w:textAlignment w:val="baseline"/>
              <w:rPr>
                <w:rFonts w:hint="eastAsia"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pPr>
              <w:adjustRightInd w:val="0"/>
              <w:spacing w:line="360" w:lineRule="auto"/>
              <w:jc w:val="center"/>
              <w:textAlignment w:val="baseline"/>
              <w:rPr>
                <w:rFonts w:ascii="宋体" w:hAnsi="宋体"/>
                <w:b/>
                <w:color w:val="000000"/>
                <w:szCs w:val="21"/>
                <w:highlight w:val="none"/>
              </w:rPr>
            </w:pPr>
            <w:r>
              <w:rPr>
                <w:rFonts w:hint="eastAsia" w:ascii="宋体" w:hAnsi="宋体"/>
                <w:b/>
                <w:color w:val="000000"/>
                <w:szCs w:val="21"/>
                <w:highlight w:val="none"/>
              </w:rPr>
              <w:t>1</w:t>
            </w:r>
          </w:p>
        </w:tc>
        <w:tc>
          <w:tcPr>
            <w:tcW w:w="895" w:type="dxa"/>
            <w:noWrap w:val="0"/>
            <w:vAlign w:val="center"/>
          </w:tcPr>
          <w:p>
            <w:pPr>
              <w:adjustRightInd w:val="0"/>
              <w:spacing w:line="360" w:lineRule="auto"/>
              <w:jc w:val="center"/>
              <w:textAlignment w:val="baseline"/>
              <w:rPr>
                <w:rFonts w:ascii="宋体" w:hAnsi="宋体"/>
                <w:b/>
                <w:color w:val="000000"/>
                <w:szCs w:val="21"/>
                <w:highlight w:val="none"/>
              </w:rPr>
            </w:pPr>
            <w:r>
              <w:rPr>
                <w:rFonts w:hint="eastAsia" w:ascii="宋体" w:hAnsi="宋体"/>
                <w:b/>
                <w:color w:val="000000"/>
                <w:szCs w:val="21"/>
                <w:highlight w:val="none"/>
              </w:rPr>
              <w:t>价格分</w:t>
            </w:r>
          </w:p>
          <w:p>
            <w:pPr>
              <w:adjustRightInd w:val="0"/>
              <w:spacing w:line="360" w:lineRule="auto"/>
              <w:jc w:val="center"/>
              <w:textAlignment w:val="baseline"/>
              <w:rPr>
                <w:rFonts w:ascii="宋体" w:hAnsi="宋体"/>
                <w:color w:val="000000"/>
                <w:szCs w:val="21"/>
                <w:highlight w:val="none"/>
              </w:rPr>
            </w:pPr>
            <w:r>
              <w:rPr>
                <w:rFonts w:hint="eastAsia" w:ascii="宋体" w:hAnsi="宋体"/>
                <w:color w:val="000000"/>
                <w:szCs w:val="21"/>
                <w:highlight w:val="none"/>
              </w:rPr>
              <w:t>（满分</w:t>
            </w:r>
            <w:r>
              <w:rPr>
                <w:rFonts w:hint="default" w:ascii="宋体" w:hAnsi="宋体"/>
                <w:color w:val="000000"/>
                <w:szCs w:val="21"/>
                <w:highlight w:val="none"/>
                <w:woUserID w:val="1"/>
              </w:rPr>
              <w:t>4</w:t>
            </w:r>
            <w:r>
              <w:rPr>
                <w:rFonts w:hint="eastAsia" w:ascii="宋体" w:hAnsi="宋体"/>
                <w:color w:val="000000"/>
                <w:szCs w:val="21"/>
                <w:highlight w:val="none"/>
                <w:u w:val="single"/>
                <w:lang w:val="en-US" w:eastAsia="zh-CN"/>
              </w:rPr>
              <w:t>0</w:t>
            </w:r>
            <w:r>
              <w:rPr>
                <w:rFonts w:hint="eastAsia" w:ascii="宋体" w:hAnsi="宋体"/>
                <w:color w:val="000000"/>
                <w:szCs w:val="21"/>
                <w:highlight w:val="none"/>
              </w:rPr>
              <w:t>分）</w:t>
            </w:r>
          </w:p>
          <w:p>
            <w:pPr>
              <w:adjustRightInd w:val="0"/>
              <w:spacing w:line="360" w:lineRule="auto"/>
              <w:jc w:val="left"/>
              <w:textAlignment w:val="baseline"/>
              <w:rPr>
                <w:rFonts w:ascii="宋体" w:hAnsi="宋体"/>
                <w:strike/>
                <w:color w:val="000000"/>
                <w:szCs w:val="21"/>
                <w:highlight w:val="none"/>
              </w:rPr>
            </w:pPr>
          </w:p>
        </w:tc>
        <w:tc>
          <w:tcPr>
            <w:tcW w:w="1078" w:type="dxa"/>
            <w:noWrap w:val="0"/>
            <w:vAlign w:val="center"/>
          </w:tcPr>
          <w:p>
            <w:pPr>
              <w:spacing w:line="312" w:lineRule="auto"/>
              <w:jc w:val="center"/>
              <w:rPr>
                <w:rFonts w:hint="eastAsia" w:ascii="宋体" w:hAnsi="宋体"/>
                <w:b/>
                <w:color w:val="000000"/>
                <w:szCs w:val="21"/>
                <w:highlight w:val="none"/>
              </w:rPr>
            </w:pPr>
            <w:r>
              <w:rPr>
                <w:rFonts w:hint="eastAsia" w:ascii="宋体" w:hAnsi="宋体"/>
                <w:b/>
                <w:color w:val="000000"/>
                <w:szCs w:val="21"/>
                <w:highlight w:val="none"/>
                <w:lang w:eastAsia="zh-CN"/>
              </w:rPr>
              <w:t>响应</w:t>
            </w:r>
            <w:r>
              <w:rPr>
                <w:rFonts w:hint="eastAsia" w:ascii="宋体" w:hAnsi="宋体"/>
                <w:b/>
                <w:color w:val="000000"/>
                <w:szCs w:val="21"/>
                <w:highlight w:val="none"/>
              </w:rPr>
              <w:t>报价（满分</w:t>
            </w:r>
            <w:r>
              <w:rPr>
                <w:rFonts w:hint="default" w:ascii="宋体" w:hAnsi="宋体"/>
                <w:b/>
                <w:color w:val="000000"/>
                <w:szCs w:val="21"/>
                <w:highlight w:val="none"/>
                <w:woUserID w:val="1"/>
              </w:rPr>
              <w:t>4</w:t>
            </w:r>
            <w:r>
              <w:rPr>
                <w:rFonts w:hint="eastAsia" w:ascii="宋体" w:hAnsi="宋体"/>
                <w:b/>
                <w:color w:val="000000"/>
                <w:szCs w:val="21"/>
                <w:highlight w:val="none"/>
                <w:lang w:val="en-US" w:eastAsia="zh-CN"/>
              </w:rPr>
              <w:t>0</w:t>
            </w:r>
            <w:r>
              <w:rPr>
                <w:rFonts w:hint="eastAsia" w:ascii="宋体" w:hAnsi="宋体"/>
                <w:b/>
                <w:color w:val="000000"/>
                <w:szCs w:val="21"/>
                <w:highlight w:val="none"/>
              </w:rPr>
              <w:t>分）</w:t>
            </w:r>
          </w:p>
          <w:p>
            <w:pPr>
              <w:spacing w:line="312" w:lineRule="auto"/>
              <w:jc w:val="center"/>
              <w:rPr>
                <w:rFonts w:ascii="宋体" w:hAnsi="宋体"/>
                <w:b/>
                <w:color w:val="000000"/>
                <w:szCs w:val="21"/>
                <w:highlight w:val="none"/>
              </w:rPr>
            </w:pPr>
          </w:p>
        </w:tc>
        <w:tc>
          <w:tcPr>
            <w:tcW w:w="6341" w:type="dxa"/>
            <w:noWrap w:val="0"/>
            <w:vAlign w:val="center"/>
          </w:tcPr>
          <w:p>
            <w:pPr>
              <w:spacing w:line="312" w:lineRule="auto"/>
              <w:ind w:firstLine="420" w:firstLineChars="200"/>
              <w:rPr>
                <w:rFonts w:ascii="宋体" w:hAnsi="宋体" w:cs="宋体"/>
                <w:bCs/>
                <w:color w:val="000000"/>
                <w:kern w:val="0"/>
                <w:szCs w:val="21"/>
                <w:highlight w:val="none"/>
              </w:rPr>
            </w:pPr>
            <w:r>
              <w:rPr>
                <w:rFonts w:hint="eastAsia" w:ascii="宋体" w:hAnsi="宋体" w:cs="宋体"/>
                <w:bCs/>
                <w:color w:val="000000"/>
                <w:kern w:val="0"/>
                <w:szCs w:val="21"/>
                <w:highlight w:val="none"/>
              </w:rPr>
              <w:t>（1）以满足</w:t>
            </w:r>
            <w:r>
              <w:rPr>
                <w:rFonts w:hint="eastAsia" w:ascii="宋体" w:hAnsi="宋体" w:cs="宋体"/>
                <w:bCs/>
                <w:color w:val="000000"/>
                <w:kern w:val="0"/>
                <w:szCs w:val="21"/>
                <w:highlight w:val="none"/>
                <w:lang w:val="en-US" w:eastAsia="zh-CN"/>
              </w:rPr>
              <w:t>采购</w:t>
            </w:r>
            <w:r>
              <w:rPr>
                <w:rFonts w:hint="eastAsia" w:ascii="宋体" w:hAnsi="宋体" w:cs="宋体"/>
                <w:bCs/>
                <w:color w:val="000000"/>
                <w:kern w:val="0"/>
                <w:szCs w:val="21"/>
                <w:highlight w:val="none"/>
              </w:rPr>
              <w:t>文件要求且</w:t>
            </w:r>
            <w:r>
              <w:rPr>
                <w:rFonts w:hint="eastAsia" w:ascii="宋体" w:hAnsi="宋体" w:cs="宋体"/>
                <w:bCs/>
                <w:color w:val="000000"/>
                <w:kern w:val="0"/>
                <w:szCs w:val="21"/>
                <w:highlight w:val="none"/>
                <w:lang w:eastAsia="zh-CN"/>
              </w:rPr>
              <w:t>响应</w:t>
            </w:r>
            <w:r>
              <w:rPr>
                <w:rFonts w:hint="eastAsia" w:ascii="宋体" w:hAnsi="宋体" w:cs="宋体"/>
                <w:bCs/>
                <w:color w:val="000000"/>
                <w:kern w:val="0"/>
                <w:szCs w:val="21"/>
                <w:highlight w:val="none"/>
              </w:rPr>
              <w:t>价格最低的</w:t>
            </w:r>
            <w:r>
              <w:rPr>
                <w:rFonts w:hint="eastAsia" w:ascii="宋体" w:hAnsi="宋体" w:cs="宋体"/>
                <w:bCs/>
                <w:color w:val="000000"/>
                <w:kern w:val="0"/>
                <w:szCs w:val="21"/>
                <w:highlight w:val="none"/>
                <w:lang w:eastAsia="zh-CN"/>
              </w:rPr>
              <w:t>响应</w:t>
            </w:r>
            <w:r>
              <w:rPr>
                <w:rFonts w:hint="eastAsia" w:ascii="宋体" w:hAnsi="宋体" w:cs="宋体"/>
                <w:bCs/>
                <w:color w:val="000000"/>
                <w:kern w:val="0"/>
                <w:szCs w:val="21"/>
                <w:highlight w:val="none"/>
              </w:rPr>
              <w:t>报价为</w:t>
            </w:r>
            <w:r>
              <w:rPr>
                <w:rFonts w:hint="eastAsia" w:ascii="宋体" w:hAnsi="宋体" w:cs="宋体"/>
                <w:bCs/>
                <w:color w:val="000000"/>
                <w:kern w:val="0"/>
                <w:szCs w:val="21"/>
                <w:highlight w:val="none"/>
                <w:lang w:eastAsia="zh-CN"/>
              </w:rPr>
              <w:t>评审</w:t>
            </w:r>
            <w:r>
              <w:rPr>
                <w:rFonts w:hint="eastAsia" w:ascii="宋体" w:hAnsi="宋体" w:cs="宋体"/>
                <w:bCs/>
                <w:color w:val="000000"/>
                <w:kern w:val="0"/>
                <w:szCs w:val="21"/>
                <w:highlight w:val="none"/>
              </w:rPr>
              <w:t>基准价，其价格分为满分。</w:t>
            </w:r>
          </w:p>
          <w:p>
            <w:pPr>
              <w:widowControl/>
              <w:spacing w:line="312"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w:t>
            </w:r>
            <w:r>
              <w:rPr>
                <w:rFonts w:hint="eastAsia" w:ascii="宋体" w:hAnsi="宋体"/>
                <w:bCs/>
                <w:color w:val="000000"/>
                <w:szCs w:val="21"/>
                <w:highlight w:val="none"/>
                <w:lang w:val="en-US" w:eastAsia="zh-CN"/>
              </w:rPr>
              <w:t>2</w:t>
            </w:r>
            <w:r>
              <w:rPr>
                <w:rFonts w:hint="eastAsia" w:ascii="宋体" w:hAnsi="宋体"/>
                <w:bCs/>
                <w:color w:val="000000"/>
                <w:szCs w:val="21"/>
                <w:highlight w:val="none"/>
              </w:rPr>
              <w:t>）价格分计算公式：</w:t>
            </w:r>
            <w:r>
              <w:rPr>
                <w:rFonts w:hint="eastAsia" w:ascii="宋体" w:hAnsi="宋体"/>
                <w:bCs/>
                <w:color w:val="000000"/>
                <w:kern w:val="0"/>
                <w:szCs w:val="21"/>
                <w:highlight w:val="none"/>
                <w:lang w:eastAsia="zh-CN"/>
              </w:rPr>
              <w:t>响应</w:t>
            </w:r>
            <w:r>
              <w:rPr>
                <w:rFonts w:hint="eastAsia" w:ascii="宋体" w:hAnsi="宋体"/>
                <w:bCs/>
                <w:color w:val="000000"/>
                <w:kern w:val="0"/>
                <w:szCs w:val="21"/>
                <w:highlight w:val="none"/>
              </w:rPr>
              <w:t>报价得分</w:t>
            </w:r>
            <w:r>
              <w:rPr>
                <w:rFonts w:ascii="宋体" w:hAnsi="宋体"/>
                <w:bCs/>
                <w:color w:val="000000"/>
                <w:kern w:val="0"/>
                <w:szCs w:val="21"/>
                <w:highlight w:val="none"/>
              </w:rPr>
              <w:t>=</w:t>
            </w:r>
            <w:r>
              <w:rPr>
                <w:rFonts w:hint="eastAsia" w:ascii="宋体" w:hAnsi="宋体"/>
                <w:bCs/>
                <w:color w:val="000000"/>
                <w:kern w:val="0"/>
                <w:szCs w:val="21"/>
                <w:highlight w:val="none"/>
              </w:rPr>
              <w:t>（</w:t>
            </w:r>
            <w:r>
              <w:rPr>
                <w:rFonts w:hint="eastAsia" w:ascii="宋体" w:hAnsi="宋体"/>
                <w:bCs/>
                <w:color w:val="000000"/>
                <w:kern w:val="0"/>
                <w:szCs w:val="21"/>
                <w:highlight w:val="none"/>
                <w:lang w:eastAsia="zh-CN"/>
              </w:rPr>
              <w:t>评审</w:t>
            </w:r>
            <w:r>
              <w:rPr>
                <w:rFonts w:hint="eastAsia" w:ascii="宋体" w:hAnsi="宋体"/>
                <w:bCs/>
                <w:color w:val="000000"/>
                <w:kern w:val="0"/>
                <w:szCs w:val="21"/>
                <w:highlight w:val="none"/>
              </w:rPr>
              <w:t>基准价</w:t>
            </w:r>
            <w:r>
              <w:rPr>
                <w:rFonts w:ascii="宋体" w:hAnsi="宋体"/>
                <w:bCs/>
                <w:color w:val="000000"/>
                <w:kern w:val="0"/>
                <w:szCs w:val="21"/>
                <w:highlight w:val="none"/>
              </w:rPr>
              <w:t>/</w:t>
            </w:r>
            <w:r>
              <w:rPr>
                <w:rFonts w:hint="eastAsia" w:ascii="宋体" w:hAnsi="宋体"/>
                <w:bCs/>
                <w:color w:val="000000"/>
                <w:kern w:val="0"/>
                <w:szCs w:val="21"/>
                <w:highlight w:val="none"/>
                <w:lang w:eastAsia="zh-CN"/>
              </w:rPr>
              <w:t>响应</w:t>
            </w:r>
            <w:r>
              <w:rPr>
                <w:rFonts w:hint="eastAsia" w:ascii="宋体" w:hAnsi="宋体"/>
                <w:bCs/>
                <w:color w:val="000000"/>
                <w:kern w:val="0"/>
                <w:szCs w:val="21"/>
                <w:highlight w:val="none"/>
              </w:rPr>
              <w:t>报价）×</w:t>
            </w:r>
            <w:r>
              <w:rPr>
                <w:rFonts w:hint="default" w:ascii="宋体" w:hAnsi="宋体"/>
                <w:bCs/>
                <w:color w:val="000000"/>
                <w:kern w:val="0"/>
                <w:szCs w:val="21"/>
                <w:highlight w:val="none"/>
                <w:woUserID w:val="1"/>
              </w:rPr>
              <w:t>4</w:t>
            </w:r>
            <w:r>
              <w:rPr>
                <w:rFonts w:hint="eastAsia" w:ascii="宋体" w:hAnsi="宋体"/>
                <w:bCs/>
                <w:color w:val="000000"/>
                <w:kern w:val="0"/>
                <w:szCs w:val="21"/>
                <w:highlight w:val="none"/>
                <w:lang w:val="en-US" w:eastAsia="zh-CN"/>
              </w:rPr>
              <w:t>0</w:t>
            </w:r>
            <w:r>
              <w:rPr>
                <w:rFonts w:hint="eastAsia" w:ascii="宋体" w:hAnsi="宋体"/>
                <w:bCs/>
                <w:color w:val="000000"/>
                <w:kern w:val="0"/>
                <w:szCs w:val="21"/>
                <w:highlight w:val="none"/>
              </w:rPr>
              <w:t>分</w:t>
            </w:r>
          </w:p>
          <w:p>
            <w:pPr>
              <w:pStyle w:val="3"/>
              <w:spacing w:line="312" w:lineRule="auto"/>
              <w:ind w:firstLine="420" w:firstLineChars="200"/>
              <w:rPr>
                <w:rFonts w:hAnsi="宋体" w:cs="Courier New"/>
                <w:bCs/>
                <w:color w:val="000000"/>
                <w:highlight w:val="none"/>
              </w:rPr>
            </w:pPr>
          </w:p>
        </w:tc>
        <w:tc>
          <w:tcPr>
            <w:tcW w:w="816" w:type="dxa"/>
            <w:noWrap w:val="0"/>
            <w:vAlign w:val="center"/>
          </w:tcPr>
          <w:p>
            <w:pPr>
              <w:pStyle w:val="3"/>
              <w:spacing w:line="312" w:lineRule="auto"/>
              <w:ind w:firstLine="420" w:firstLineChars="200"/>
              <w:rPr>
                <w:rFonts w:hint="eastAsia"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6" w:type="dxa"/>
            <w:vMerge w:val="restart"/>
            <w:noWrap w:val="0"/>
            <w:vAlign w:val="center"/>
          </w:tcPr>
          <w:p>
            <w:pPr>
              <w:adjustRightInd w:val="0"/>
              <w:spacing w:line="360" w:lineRule="auto"/>
              <w:jc w:val="center"/>
              <w:textAlignment w:val="baseline"/>
              <w:rPr>
                <w:rFonts w:hint="eastAsia"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2</w:t>
            </w:r>
          </w:p>
        </w:tc>
        <w:tc>
          <w:tcPr>
            <w:tcW w:w="895" w:type="dxa"/>
            <w:vMerge w:val="restart"/>
            <w:noWrap w:val="0"/>
            <w:vAlign w:val="center"/>
          </w:tcPr>
          <w:p>
            <w:pPr>
              <w:adjustRightInd w:val="0"/>
              <w:spacing w:line="360" w:lineRule="auto"/>
              <w:ind w:left="-105" w:leftChars="-50" w:right="-105" w:rightChars="-50"/>
              <w:jc w:val="center"/>
              <w:textAlignment w:val="baseline"/>
              <w:rPr>
                <w:rFonts w:ascii="宋体" w:hAnsi="宋体"/>
                <w:b/>
                <w:bCs/>
                <w:color w:val="000000"/>
                <w:szCs w:val="21"/>
                <w:highlight w:val="none"/>
              </w:rPr>
            </w:pPr>
            <w:r>
              <w:rPr>
                <w:rFonts w:hint="eastAsia" w:ascii="宋体" w:hAnsi="宋体"/>
                <w:b/>
                <w:bCs/>
                <w:color w:val="000000"/>
                <w:szCs w:val="21"/>
                <w:highlight w:val="none"/>
              </w:rPr>
              <w:t>技术分</w:t>
            </w:r>
          </w:p>
          <w:p>
            <w:pPr>
              <w:adjustRightInd w:val="0"/>
              <w:spacing w:line="360" w:lineRule="auto"/>
              <w:ind w:left="-105" w:leftChars="-50" w:right="-105" w:rightChars="-50"/>
              <w:jc w:val="center"/>
              <w:textAlignment w:val="baseline"/>
              <w:rPr>
                <w:rFonts w:hint="eastAsia" w:ascii="宋体" w:hAnsi="宋体"/>
                <w:bCs/>
                <w:color w:val="000000"/>
                <w:szCs w:val="21"/>
                <w:highlight w:val="none"/>
              </w:rPr>
            </w:pPr>
            <w:r>
              <w:rPr>
                <w:rFonts w:hint="eastAsia" w:ascii="宋体" w:hAnsi="宋体"/>
                <w:bCs/>
                <w:color w:val="000000"/>
                <w:szCs w:val="21"/>
                <w:highlight w:val="none"/>
              </w:rPr>
              <w:t>（</w:t>
            </w:r>
            <w:r>
              <w:rPr>
                <w:rFonts w:hint="eastAsia" w:ascii="宋体" w:hAnsi="宋体"/>
                <w:color w:val="000000"/>
                <w:szCs w:val="21"/>
                <w:highlight w:val="none"/>
              </w:rPr>
              <w:t>满分</w:t>
            </w:r>
            <w:r>
              <w:rPr>
                <w:rFonts w:hint="default" w:ascii="宋体" w:hAnsi="宋体"/>
                <w:color w:val="000000"/>
                <w:szCs w:val="21"/>
                <w:highlight w:val="none"/>
                <w:woUserID w:val="1"/>
              </w:rPr>
              <w:t>5</w:t>
            </w:r>
            <w:r>
              <w:rPr>
                <w:rFonts w:hint="eastAsia" w:ascii="宋体" w:hAnsi="宋体"/>
                <w:color w:val="000000"/>
                <w:szCs w:val="21"/>
                <w:highlight w:val="none"/>
                <w:u w:val="single"/>
                <w:lang w:val="en-US" w:eastAsia="zh-CN"/>
              </w:rPr>
              <w:t>1</w:t>
            </w:r>
            <w:r>
              <w:rPr>
                <w:rFonts w:hint="eastAsia" w:ascii="宋体" w:hAnsi="宋体"/>
                <w:bCs/>
                <w:color w:val="000000"/>
                <w:szCs w:val="21"/>
                <w:highlight w:val="none"/>
              </w:rPr>
              <w:t>分）</w:t>
            </w:r>
          </w:p>
        </w:tc>
        <w:tc>
          <w:tcPr>
            <w:tcW w:w="1078" w:type="dxa"/>
            <w:noWrap w:val="0"/>
            <w:vAlign w:val="center"/>
          </w:tcPr>
          <w:p>
            <w:pPr>
              <w:spacing w:line="312" w:lineRule="auto"/>
              <w:jc w:val="center"/>
              <w:rPr>
                <w:rFonts w:hint="eastAsia" w:ascii="宋体" w:hAnsi="宋体"/>
                <w:b/>
                <w:color w:val="000000"/>
                <w:szCs w:val="21"/>
                <w:highlight w:val="none"/>
              </w:rPr>
            </w:pPr>
            <w:r>
              <w:rPr>
                <w:rFonts w:hint="eastAsia" w:ascii="宋体" w:hAnsi="宋体"/>
                <w:b/>
                <w:color w:val="000000"/>
                <w:szCs w:val="21"/>
                <w:highlight w:val="none"/>
              </w:rPr>
              <w:t>项目服务实施方案分（满分</w:t>
            </w:r>
            <w:r>
              <w:rPr>
                <w:rFonts w:hint="default" w:ascii="宋体" w:hAnsi="宋体"/>
                <w:b/>
                <w:color w:val="000000"/>
                <w:szCs w:val="21"/>
                <w:highlight w:val="none"/>
                <w:woUserID w:val="1"/>
              </w:rPr>
              <w:t>2</w:t>
            </w:r>
            <w:r>
              <w:rPr>
                <w:rFonts w:hint="eastAsia" w:ascii="宋体" w:hAnsi="宋体"/>
                <w:b/>
                <w:color w:val="000000"/>
                <w:szCs w:val="21"/>
                <w:highlight w:val="none"/>
                <w:lang w:val="en-US" w:eastAsia="zh-CN"/>
              </w:rPr>
              <w:t>5</w:t>
            </w:r>
            <w:r>
              <w:rPr>
                <w:rFonts w:hint="eastAsia" w:ascii="宋体" w:hAnsi="宋体"/>
                <w:b/>
                <w:color w:val="000000"/>
                <w:szCs w:val="21"/>
                <w:highlight w:val="none"/>
              </w:rPr>
              <w:t>分）</w:t>
            </w:r>
          </w:p>
        </w:tc>
        <w:tc>
          <w:tcPr>
            <w:tcW w:w="6341" w:type="dxa"/>
            <w:noWrap w:val="0"/>
            <w:vAlign w:val="center"/>
          </w:tcPr>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一档（</w:t>
            </w:r>
            <w:r>
              <w:rPr>
                <w:rFonts w:hint="eastAsia" w:hAnsi="宋体" w:cs="宋体"/>
                <w:bCs/>
                <w:color w:val="000000"/>
                <w:szCs w:val="21"/>
                <w:highlight w:val="none"/>
                <w:lang w:val="en-US" w:eastAsia="zh-CN"/>
              </w:rPr>
              <w:t>5</w:t>
            </w:r>
            <w:r>
              <w:rPr>
                <w:rFonts w:hint="eastAsia" w:hAnsi="宋体" w:cs="宋体"/>
                <w:bCs/>
                <w:color w:val="000000"/>
                <w:szCs w:val="21"/>
                <w:highlight w:val="none"/>
              </w:rPr>
              <w:t>分）：服务质量保证方案（服务方式、流程等）维护服务实施方案、对具体方案设计合理性一般；组织计划、技术规范和质量保证措施、安全保障措施等方面内容基本齐全、规范及方案、进度及目标、预期达到的效果、管理、组织协调、实施细则等，有人员配备,陈述简单，无针对性、操作性的。</w:t>
            </w:r>
          </w:p>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二档（</w:t>
            </w:r>
            <w:r>
              <w:rPr>
                <w:rFonts w:hint="default" w:hAnsi="宋体" w:cs="宋体"/>
                <w:bCs/>
                <w:color w:val="000000"/>
                <w:szCs w:val="21"/>
                <w:highlight w:val="none"/>
                <w:woUserID w:val="1"/>
              </w:rPr>
              <w:t>15</w:t>
            </w:r>
            <w:r>
              <w:rPr>
                <w:rFonts w:hint="eastAsia" w:hAnsi="宋体" w:cs="宋体"/>
                <w:bCs/>
                <w:color w:val="000000"/>
                <w:szCs w:val="21"/>
                <w:highlight w:val="none"/>
              </w:rPr>
              <w:t>分）：服务质量保证方案（服务方式、流程等）维护服务实施方案、对具体方案设计合理性较好；组织计划、技术规范和质量保证措施、安全保障措施等方面内容齐全、规范及方案、进度及目标、预期达到的效果、管理、组织协调、实施细则</w:t>
            </w:r>
            <w:r>
              <w:rPr>
                <w:rFonts w:hint="eastAsia" w:hAnsi="宋体" w:cs="宋体"/>
                <w:bCs/>
                <w:color w:val="000000"/>
                <w:szCs w:val="21"/>
                <w:highlight w:val="none"/>
                <w:lang w:eastAsia="zh-CN"/>
              </w:rPr>
              <w:t>、</w:t>
            </w:r>
            <w:r>
              <w:rPr>
                <w:rFonts w:hint="eastAsia" w:hAnsi="宋体" w:cs="宋体"/>
                <w:bCs/>
                <w:color w:val="000000"/>
                <w:szCs w:val="21"/>
                <w:highlight w:val="none"/>
                <w:lang w:val="en-US" w:eastAsia="zh-CN"/>
              </w:rPr>
              <w:t>明确定期检查的时间</w:t>
            </w:r>
            <w:r>
              <w:rPr>
                <w:rFonts w:hint="eastAsia" w:hAnsi="宋体" w:cs="宋体"/>
                <w:bCs/>
                <w:color w:val="000000"/>
                <w:szCs w:val="21"/>
                <w:highlight w:val="none"/>
              </w:rPr>
              <w:t>等，人员配备合理可行,陈述较详细，针对性、操作性一般的。</w:t>
            </w:r>
          </w:p>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三档(</w:t>
            </w:r>
            <w:r>
              <w:rPr>
                <w:rFonts w:hint="default" w:hAnsi="宋体" w:cs="宋体"/>
                <w:bCs/>
                <w:color w:val="000000"/>
                <w:szCs w:val="21"/>
                <w:highlight w:val="none"/>
                <w:woUserID w:val="1"/>
              </w:rPr>
              <w:t>2</w:t>
            </w:r>
            <w:r>
              <w:rPr>
                <w:rFonts w:hint="eastAsia" w:hAnsi="宋体" w:cs="宋体"/>
                <w:bCs/>
                <w:color w:val="000000"/>
                <w:szCs w:val="21"/>
                <w:highlight w:val="none"/>
                <w:lang w:val="en-US" w:eastAsia="zh-CN"/>
              </w:rPr>
              <w:t>5</w:t>
            </w:r>
            <w:r>
              <w:rPr>
                <w:rFonts w:hint="eastAsia" w:hAnsi="宋体" w:cs="宋体"/>
                <w:bCs/>
                <w:color w:val="000000"/>
                <w:szCs w:val="21"/>
                <w:highlight w:val="none"/>
              </w:rPr>
              <w:t>分）：服务质量保证方案（服务方式、流程等）维护服务实施方案、对具体方案设计合理性优秀。组织计划、技术规范和质量保证措施、安全保障措施等方面内容齐全、规范及方案、进度及目标、预期达到的效果、管理、组织协调、实施细则</w:t>
            </w:r>
            <w:r>
              <w:rPr>
                <w:rFonts w:hint="eastAsia" w:hAnsi="宋体" w:cs="宋体"/>
                <w:bCs/>
                <w:color w:val="000000"/>
                <w:szCs w:val="21"/>
                <w:highlight w:val="none"/>
                <w:lang w:eastAsia="zh-CN"/>
              </w:rPr>
              <w:t>、</w:t>
            </w:r>
            <w:r>
              <w:rPr>
                <w:rFonts w:hint="eastAsia" w:hAnsi="宋体" w:cs="宋体"/>
                <w:bCs/>
                <w:color w:val="000000"/>
                <w:szCs w:val="21"/>
                <w:highlight w:val="none"/>
                <w:lang w:val="en-US" w:eastAsia="zh-CN"/>
              </w:rPr>
              <w:t>明确定期检查的时间</w:t>
            </w:r>
            <w:r>
              <w:rPr>
                <w:rFonts w:hint="eastAsia" w:hAnsi="宋体" w:cs="宋体"/>
                <w:bCs/>
                <w:color w:val="000000"/>
                <w:szCs w:val="21"/>
                <w:highlight w:val="none"/>
              </w:rPr>
              <w:t>等，人员配备充足科学,陈述详细，针对性、操作性强且科学合理的。</w:t>
            </w:r>
          </w:p>
          <w:p>
            <w:pPr>
              <w:pStyle w:val="4"/>
              <w:rPr>
                <w:rFonts w:hint="eastAsia"/>
              </w:rPr>
            </w:pPr>
            <w:r>
              <w:rPr>
                <w:rFonts w:hint="eastAsia" w:ascii="宋体" w:hAnsi="宋体" w:eastAsia="宋体" w:cs="宋体"/>
                <w:b w:val="0"/>
                <w:bCs/>
                <w:caps w:val="0"/>
                <w:color w:val="000000"/>
                <w:kern w:val="2"/>
                <w:sz w:val="21"/>
                <w:szCs w:val="21"/>
                <w:highlight w:val="none"/>
                <w:u w:val="none"/>
                <w:lang w:val="en-US" w:eastAsia="zh-CN" w:bidi="ar-SA"/>
              </w:rPr>
              <w:t>不提供</w:t>
            </w:r>
            <w:r>
              <w:rPr>
                <w:rFonts w:hint="eastAsia" w:ascii="宋体" w:hAnsi="宋体" w:cs="宋体"/>
                <w:b w:val="0"/>
                <w:bCs/>
                <w:caps w:val="0"/>
                <w:color w:val="000000"/>
                <w:kern w:val="2"/>
                <w:sz w:val="21"/>
                <w:szCs w:val="21"/>
                <w:highlight w:val="none"/>
                <w:u w:val="none"/>
                <w:lang w:val="en-US" w:eastAsia="zh-CN" w:bidi="ar-SA"/>
              </w:rPr>
              <w:t>项目服务实施方案</w:t>
            </w:r>
            <w:r>
              <w:rPr>
                <w:rFonts w:hint="eastAsia" w:ascii="宋体" w:hAnsi="宋体" w:eastAsia="宋体" w:cs="宋体"/>
                <w:b w:val="0"/>
                <w:bCs/>
                <w:caps w:val="0"/>
                <w:color w:val="000000"/>
                <w:kern w:val="2"/>
                <w:sz w:val="21"/>
                <w:szCs w:val="21"/>
                <w:highlight w:val="none"/>
                <w:u w:val="none"/>
                <w:lang w:val="en-US" w:eastAsia="zh-CN" w:bidi="ar-SA"/>
              </w:rPr>
              <w:t>不得分。</w:t>
            </w:r>
          </w:p>
        </w:tc>
        <w:tc>
          <w:tcPr>
            <w:tcW w:w="816" w:type="dxa"/>
            <w:noWrap w:val="0"/>
            <w:vAlign w:val="center"/>
          </w:tcPr>
          <w:p>
            <w:pPr>
              <w:pStyle w:val="3"/>
              <w:spacing w:line="312" w:lineRule="auto"/>
              <w:ind w:firstLine="420" w:firstLineChars="200"/>
              <w:rPr>
                <w:rFonts w:hint="eastAsia"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6" w:type="dxa"/>
            <w:vMerge w:val="continue"/>
            <w:noWrap w:val="0"/>
            <w:vAlign w:val="center"/>
          </w:tcPr>
          <w:p>
            <w:pPr>
              <w:adjustRightInd w:val="0"/>
              <w:spacing w:line="360" w:lineRule="auto"/>
              <w:jc w:val="center"/>
              <w:textAlignment w:val="baseline"/>
              <w:rPr>
                <w:rFonts w:hint="eastAsia" w:ascii="宋体" w:hAnsi="宋体"/>
                <w:b/>
                <w:color w:val="000000"/>
                <w:szCs w:val="21"/>
                <w:highlight w:val="none"/>
              </w:rPr>
            </w:pPr>
          </w:p>
        </w:tc>
        <w:tc>
          <w:tcPr>
            <w:tcW w:w="895" w:type="dxa"/>
            <w:vMerge w:val="continue"/>
            <w:noWrap w:val="0"/>
            <w:vAlign w:val="center"/>
          </w:tcPr>
          <w:p>
            <w:pPr>
              <w:adjustRightInd w:val="0"/>
              <w:spacing w:line="360" w:lineRule="auto"/>
              <w:ind w:left="-105" w:leftChars="-50" w:right="-105" w:rightChars="-50"/>
              <w:jc w:val="center"/>
              <w:textAlignment w:val="baseline"/>
              <w:rPr>
                <w:rFonts w:hint="eastAsia" w:ascii="宋体" w:hAnsi="宋体"/>
                <w:bCs/>
                <w:color w:val="000000"/>
                <w:szCs w:val="21"/>
                <w:highlight w:val="none"/>
              </w:rPr>
            </w:pPr>
          </w:p>
        </w:tc>
        <w:tc>
          <w:tcPr>
            <w:tcW w:w="1078" w:type="dxa"/>
            <w:noWrap w:val="0"/>
            <w:vAlign w:val="center"/>
          </w:tcPr>
          <w:p>
            <w:pPr>
              <w:spacing w:line="312" w:lineRule="auto"/>
              <w:jc w:val="center"/>
              <w:rPr>
                <w:rFonts w:hint="eastAsia" w:ascii="宋体" w:hAnsi="宋体"/>
                <w:b/>
                <w:color w:val="000000"/>
                <w:szCs w:val="21"/>
                <w:highlight w:val="none"/>
              </w:rPr>
            </w:pPr>
            <w:r>
              <w:rPr>
                <w:rFonts w:hint="eastAsia" w:ascii="宋体" w:hAnsi="宋体"/>
                <w:b/>
                <w:color w:val="000000"/>
                <w:szCs w:val="21"/>
                <w:highlight w:val="none"/>
              </w:rPr>
              <w:t>售后服务分（满分</w:t>
            </w:r>
            <w:r>
              <w:rPr>
                <w:rFonts w:hint="default" w:ascii="宋体" w:hAnsi="宋体"/>
                <w:b/>
                <w:color w:val="000000"/>
                <w:szCs w:val="21"/>
                <w:highlight w:val="none"/>
                <w:woUserID w:val="1"/>
              </w:rPr>
              <w:t>2</w:t>
            </w:r>
            <w:r>
              <w:rPr>
                <w:rFonts w:hint="eastAsia" w:ascii="宋体" w:hAnsi="宋体"/>
                <w:b/>
                <w:color w:val="000000"/>
                <w:szCs w:val="21"/>
                <w:highlight w:val="none"/>
                <w:lang w:val="en-US" w:eastAsia="zh-CN"/>
              </w:rPr>
              <w:t>6</w:t>
            </w:r>
            <w:r>
              <w:rPr>
                <w:rFonts w:hint="eastAsia" w:ascii="宋体" w:hAnsi="宋体"/>
                <w:b/>
                <w:color w:val="000000"/>
                <w:szCs w:val="21"/>
                <w:highlight w:val="none"/>
              </w:rPr>
              <w:t>分）</w:t>
            </w:r>
          </w:p>
        </w:tc>
        <w:tc>
          <w:tcPr>
            <w:tcW w:w="6341" w:type="dxa"/>
            <w:noWrap w:val="0"/>
            <w:vAlign w:val="center"/>
          </w:tcPr>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一档（</w:t>
            </w:r>
            <w:r>
              <w:rPr>
                <w:rFonts w:hint="default" w:hAnsi="宋体" w:cs="宋体"/>
                <w:bCs/>
                <w:color w:val="000000"/>
                <w:szCs w:val="21"/>
                <w:highlight w:val="none"/>
                <w:woUserID w:val="1"/>
              </w:rPr>
              <w:t>10</w:t>
            </w:r>
            <w:bookmarkStart w:id="0" w:name="_GoBack"/>
            <w:bookmarkEnd w:id="0"/>
            <w:r>
              <w:rPr>
                <w:rFonts w:hint="eastAsia" w:hAnsi="宋体" w:cs="宋体"/>
                <w:bCs/>
                <w:color w:val="000000"/>
                <w:szCs w:val="21"/>
                <w:highlight w:val="none"/>
              </w:rPr>
              <w:t>分）：售后服务方案仅满足</w:t>
            </w:r>
            <w:r>
              <w:rPr>
                <w:rFonts w:hint="eastAsia" w:hAnsi="宋体" w:cs="宋体"/>
                <w:bCs/>
                <w:color w:val="000000"/>
                <w:szCs w:val="21"/>
                <w:highlight w:val="none"/>
                <w:lang w:eastAsia="zh-CN"/>
              </w:rPr>
              <w:t>采购</w:t>
            </w:r>
            <w:r>
              <w:rPr>
                <w:rFonts w:hint="eastAsia" w:hAnsi="宋体" w:cs="宋体"/>
                <w:bCs/>
                <w:color w:val="000000"/>
                <w:szCs w:val="21"/>
                <w:highlight w:val="none"/>
              </w:rPr>
              <w:t>文件的要求，技术培训具体计划，缺乏保障响应措施，服务经验一般，有简单的售后服务方案。</w:t>
            </w:r>
          </w:p>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二档（1</w:t>
            </w:r>
            <w:r>
              <w:rPr>
                <w:rFonts w:hint="default" w:hAnsi="宋体" w:cs="宋体"/>
                <w:bCs/>
                <w:color w:val="000000"/>
                <w:szCs w:val="21"/>
                <w:highlight w:val="none"/>
                <w:woUserID w:val="1"/>
              </w:rPr>
              <w:t>6</w:t>
            </w:r>
            <w:r>
              <w:rPr>
                <w:rFonts w:hint="eastAsia" w:hAnsi="宋体" w:cs="宋体"/>
                <w:bCs/>
                <w:color w:val="000000"/>
                <w:szCs w:val="21"/>
                <w:highlight w:val="none"/>
              </w:rPr>
              <w:t>分）：售后服务方案细致、合理、可行，技术培训具体计划全面，具备故障出现解决方案、质保期外维修方案、其他优惠措施、供货要求及方案，方案相对完善，服务经验良好，并承诺提供7×24售后服务热线，响应时间短，快捷、迅速，有详细的售后服务方案，具有本地化服务能力。</w:t>
            </w:r>
          </w:p>
          <w:p>
            <w:pPr>
              <w:pStyle w:val="3"/>
              <w:spacing w:line="312" w:lineRule="auto"/>
              <w:ind w:firstLine="420" w:firstLineChars="200"/>
              <w:rPr>
                <w:rFonts w:hint="eastAsia" w:hAnsi="宋体" w:cs="宋体"/>
                <w:bCs/>
                <w:color w:val="000000"/>
                <w:szCs w:val="21"/>
                <w:highlight w:val="none"/>
              </w:rPr>
            </w:pPr>
            <w:r>
              <w:rPr>
                <w:rFonts w:hint="eastAsia" w:hAnsi="宋体" w:cs="宋体"/>
                <w:bCs/>
                <w:color w:val="000000"/>
                <w:szCs w:val="21"/>
                <w:highlight w:val="none"/>
              </w:rPr>
              <w:t>三档（</w:t>
            </w:r>
            <w:r>
              <w:rPr>
                <w:rFonts w:hint="default" w:hAnsi="宋体" w:cs="宋体"/>
                <w:bCs/>
                <w:color w:val="000000"/>
                <w:szCs w:val="21"/>
                <w:highlight w:val="none"/>
                <w:woUserID w:val="1"/>
              </w:rPr>
              <w:t>2</w:t>
            </w:r>
            <w:r>
              <w:rPr>
                <w:rFonts w:hint="eastAsia" w:hAnsi="宋体" w:cs="宋体"/>
                <w:bCs/>
                <w:color w:val="000000"/>
                <w:szCs w:val="21"/>
                <w:highlight w:val="none"/>
                <w:lang w:val="en-US" w:eastAsia="zh-CN"/>
              </w:rPr>
              <w:t>6</w:t>
            </w:r>
            <w:r>
              <w:rPr>
                <w:rFonts w:hint="eastAsia" w:hAnsi="宋体" w:cs="宋体"/>
                <w:bCs/>
                <w:color w:val="000000"/>
                <w:szCs w:val="21"/>
                <w:highlight w:val="none"/>
              </w:rPr>
              <w:t>分）：售后服务方案细致、合理、可行，技术培训具体计划全面具有针对性，保障响应措施有力，服务经验丰富，并承诺提供7×24售后服务热线，响应时间短，快捷、迅速，有该项目详细可行的系统建设的售后服务方案、售后服务流程、应急预案、发生故障时提供备用机或有替代解决方案、质量保障方案，质保期外维修方案、其他优惠措施、供货要求及方案，且方案科学合理、切合项目实际，具有本地化服务能力。</w:t>
            </w:r>
          </w:p>
          <w:p>
            <w:pPr>
              <w:pStyle w:val="4"/>
              <w:rPr>
                <w:rFonts w:hint="default" w:eastAsia="宋体"/>
                <w:lang w:val="en-US" w:eastAsia="zh-CN"/>
              </w:rPr>
            </w:pPr>
            <w:r>
              <w:rPr>
                <w:rFonts w:hint="eastAsia" w:ascii="宋体" w:hAnsi="宋体" w:eastAsia="宋体" w:cs="宋体"/>
                <w:b w:val="0"/>
                <w:bCs/>
                <w:caps w:val="0"/>
                <w:color w:val="000000"/>
                <w:kern w:val="2"/>
                <w:sz w:val="21"/>
                <w:szCs w:val="21"/>
                <w:highlight w:val="none"/>
                <w:u w:val="none"/>
                <w:lang w:val="en-US" w:eastAsia="zh-CN" w:bidi="ar-SA"/>
              </w:rPr>
              <w:t>不提供售后服务方案不得分</w:t>
            </w:r>
            <w:r>
              <w:rPr>
                <w:rFonts w:hint="eastAsia" w:ascii="宋体" w:hAnsi="宋体" w:cs="宋体"/>
                <w:b w:val="0"/>
                <w:bCs/>
                <w:caps w:val="0"/>
                <w:color w:val="000000"/>
                <w:kern w:val="2"/>
                <w:sz w:val="21"/>
                <w:szCs w:val="21"/>
                <w:highlight w:val="none"/>
                <w:u w:val="none"/>
                <w:lang w:val="en-US" w:eastAsia="zh-CN" w:bidi="ar-SA"/>
              </w:rPr>
              <w:t>。</w:t>
            </w:r>
          </w:p>
        </w:tc>
        <w:tc>
          <w:tcPr>
            <w:tcW w:w="816" w:type="dxa"/>
            <w:noWrap w:val="0"/>
            <w:vAlign w:val="center"/>
          </w:tcPr>
          <w:p>
            <w:pPr>
              <w:pStyle w:val="3"/>
              <w:spacing w:line="312" w:lineRule="auto"/>
              <w:ind w:firstLine="420" w:firstLineChars="200"/>
              <w:rPr>
                <w:rFonts w:hint="eastAsia"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546" w:type="dxa"/>
            <w:noWrap w:val="0"/>
            <w:vAlign w:val="center"/>
          </w:tcPr>
          <w:p>
            <w:pPr>
              <w:adjustRightInd w:val="0"/>
              <w:spacing w:line="360" w:lineRule="auto"/>
              <w:jc w:val="center"/>
              <w:textAlignment w:val="baseline"/>
              <w:rPr>
                <w:rFonts w:ascii="宋体" w:hAnsi="宋体"/>
                <w:b/>
                <w:color w:val="000000"/>
                <w:szCs w:val="21"/>
                <w:highlight w:val="none"/>
              </w:rPr>
            </w:pPr>
            <w:r>
              <w:rPr>
                <w:rFonts w:hint="eastAsia" w:ascii="宋体" w:hAnsi="宋体"/>
                <w:b/>
                <w:color w:val="000000"/>
                <w:szCs w:val="21"/>
                <w:highlight w:val="none"/>
              </w:rPr>
              <w:t>3</w:t>
            </w:r>
          </w:p>
        </w:tc>
        <w:tc>
          <w:tcPr>
            <w:tcW w:w="895" w:type="dxa"/>
            <w:noWrap w:val="0"/>
            <w:vAlign w:val="center"/>
          </w:tcPr>
          <w:p>
            <w:pPr>
              <w:adjustRightInd w:val="0"/>
              <w:spacing w:line="360" w:lineRule="auto"/>
              <w:jc w:val="center"/>
              <w:textAlignment w:val="baseline"/>
              <w:rPr>
                <w:rFonts w:ascii="宋体" w:hAnsi="宋体"/>
                <w:b/>
                <w:color w:val="000000"/>
                <w:szCs w:val="21"/>
                <w:highlight w:val="none"/>
              </w:rPr>
            </w:pPr>
            <w:r>
              <w:rPr>
                <w:rFonts w:hint="eastAsia" w:ascii="宋体" w:hAnsi="宋体"/>
                <w:b/>
                <w:color w:val="000000"/>
                <w:szCs w:val="21"/>
                <w:highlight w:val="none"/>
              </w:rPr>
              <w:t>商务分</w:t>
            </w:r>
          </w:p>
          <w:p>
            <w:pPr>
              <w:pStyle w:val="5"/>
              <w:rPr>
                <w:b/>
                <w:color w:val="000000"/>
                <w:highlight w:val="none"/>
              </w:rPr>
            </w:pPr>
            <w:r>
              <w:rPr>
                <w:rFonts w:hint="eastAsia" w:ascii="宋体" w:hAnsi="宋体"/>
                <w:b/>
                <w:color w:val="000000"/>
                <w:szCs w:val="21"/>
                <w:highlight w:val="none"/>
              </w:rPr>
              <w:t>（</w:t>
            </w:r>
            <w:r>
              <w:rPr>
                <w:rFonts w:hint="eastAsia" w:ascii="宋体" w:hAnsi="宋体"/>
                <w:b/>
                <w:color w:val="000000"/>
                <w:sz w:val="21"/>
                <w:szCs w:val="21"/>
                <w:highlight w:val="none"/>
              </w:rPr>
              <w:t>满分</w:t>
            </w:r>
            <w:r>
              <w:rPr>
                <w:rFonts w:hint="eastAsia" w:ascii="宋体" w:hAnsi="宋体"/>
                <w:b/>
                <w:color w:val="000000"/>
                <w:sz w:val="21"/>
                <w:szCs w:val="21"/>
                <w:highlight w:val="none"/>
                <w:lang w:val="en-US" w:eastAsia="zh-CN"/>
              </w:rPr>
              <w:t>9</w:t>
            </w:r>
            <w:r>
              <w:rPr>
                <w:rFonts w:hint="eastAsia" w:ascii="宋体" w:hAnsi="宋体"/>
                <w:b/>
                <w:color w:val="000000"/>
                <w:sz w:val="21"/>
                <w:szCs w:val="21"/>
                <w:highlight w:val="none"/>
              </w:rPr>
              <w:t>分）</w:t>
            </w:r>
          </w:p>
        </w:tc>
        <w:tc>
          <w:tcPr>
            <w:tcW w:w="1078" w:type="dxa"/>
            <w:noWrap w:val="0"/>
            <w:tcMar>
              <w:left w:w="57" w:type="dxa"/>
              <w:right w:w="57" w:type="dxa"/>
            </w:tcMar>
            <w:vAlign w:val="center"/>
          </w:tcPr>
          <w:p>
            <w:pPr>
              <w:spacing w:line="312" w:lineRule="auto"/>
              <w:jc w:val="center"/>
              <w:rPr>
                <w:rFonts w:hint="eastAsia" w:ascii="宋体" w:hAnsi="宋体"/>
                <w:b/>
                <w:color w:val="000000"/>
                <w:szCs w:val="21"/>
                <w:highlight w:val="none"/>
              </w:rPr>
            </w:pPr>
            <w:r>
              <w:rPr>
                <w:rFonts w:hint="eastAsia" w:ascii="宋体" w:hAnsi="宋体"/>
                <w:b/>
                <w:color w:val="000000"/>
                <w:szCs w:val="21"/>
                <w:highlight w:val="none"/>
              </w:rPr>
              <w:t>信誉实力分</w:t>
            </w:r>
          </w:p>
          <w:p>
            <w:pPr>
              <w:spacing w:line="312" w:lineRule="auto"/>
              <w:jc w:val="center"/>
              <w:rPr>
                <w:rFonts w:hint="eastAsia" w:ascii="宋体" w:hAnsi="宋体"/>
                <w:b/>
                <w:color w:val="000000"/>
                <w:szCs w:val="21"/>
                <w:highlight w:val="none"/>
              </w:rPr>
            </w:pPr>
            <w:r>
              <w:rPr>
                <w:rFonts w:hint="eastAsia" w:ascii="宋体" w:hAnsi="宋体"/>
                <w:b/>
                <w:color w:val="000000"/>
                <w:szCs w:val="21"/>
                <w:highlight w:val="none"/>
              </w:rPr>
              <w:t>（满分</w:t>
            </w:r>
            <w:r>
              <w:rPr>
                <w:rFonts w:hint="eastAsia" w:ascii="宋体" w:hAnsi="宋体"/>
                <w:b/>
                <w:color w:val="000000"/>
                <w:szCs w:val="21"/>
                <w:highlight w:val="none"/>
                <w:lang w:val="en-US" w:eastAsia="zh-CN"/>
              </w:rPr>
              <w:t>9</w:t>
            </w:r>
            <w:r>
              <w:rPr>
                <w:rFonts w:hint="eastAsia" w:ascii="宋体" w:hAnsi="宋体"/>
                <w:b/>
                <w:color w:val="000000"/>
                <w:szCs w:val="21"/>
                <w:highlight w:val="none"/>
              </w:rPr>
              <w:t>分）</w:t>
            </w:r>
          </w:p>
        </w:tc>
        <w:tc>
          <w:tcPr>
            <w:tcW w:w="6341" w:type="dxa"/>
            <w:noWrap w:val="0"/>
            <w:vAlign w:val="center"/>
          </w:tcPr>
          <w:p>
            <w:pPr>
              <w:pStyle w:val="3"/>
              <w:spacing w:line="312" w:lineRule="auto"/>
              <w:rPr>
                <w:color w:val="000000"/>
                <w:highlight w:val="none"/>
              </w:rPr>
            </w:pPr>
            <w:r>
              <w:rPr>
                <w:rFonts w:hint="eastAsia"/>
                <w:color w:val="000000"/>
                <w:highlight w:val="none"/>
                <w:lang w:eastAsia="zh-CN"/>
              </w:rPr>
              <w:t>响应</w:t>
            </w:r>
            <w:r>
              <w:rPr>
                <w:color w:val="000000"/>
                <w:highlight w:val="none"/>
              </w:rPr>
              <w:t>人</w:t>
            </w:r>
            <w:r>
              <w:rPr>
                <w:rFonts w:hint="eastAsia"/>
                <w:color w:val="000000"/>
                <w:highlight w:val="none"/>
              </w:rPr>
              <w:t>或所投设备厂家近三年来具有</w:t>
            </w:r>
            <w:r>
              <w:rPr>
                <w:rFonts w:hint="eastAsia"/>
                <w:color w:val="000000"/>
                <w:highlight w:val="none"/>
                <w:lang w:val="en-US" w:eastAsia="zh-CN"/>
              </w:rPr>
              <w:t>同类</w:t>
            </w:r>
            <w:r>
              <w:rPr>
                <w:color w:val="000000"/>
                <w:highlight w:val="none"/>
              </w:rPr>
              <w:t>设备</w:t>
            </w:r>
            <w:r>
              <w:rPr>
                <w:rFonts w:hint="eastAsia"/>
                <w:color w:val="000000"/>
                <w:highlight w:val="none"/>
              </w:rPr>
              <w:t>销售业绩的，提供一份合同复印件得</w:t>
            </w:r>
            <w:r>
              <w:rPr>
                <w:rFonts w:hint="eastAsia"/>
                <w:color w:val="000000"/>
                <w:highlight w:val="none"/>
                <w:lang w:val="en-US" w:eastAsia="zh-CN"/>
              </w:rPr>
              <w:t>3</w:t>
            </w:r>
            <w:r>
              <w:rPr>
                <w:rFonts w:hint="eastAsia"/>
                <w:color w:val="000000"/>
                <w:highlight w:val="none"/>
              </w:rPr>
              <w:t>分，满分</w:t>
            </w:r>
            <w:r>
              <w:rPr>
                <w:color w:val="000000"/>
                <w:highlight w:val="none"/>
              </w:rPr>
              <w:t>得</w:t>
            </w:r>
            <w:r>
              <w:rPr>
                <w:rFonts w:hint="eastAsia"/>
                <w:color w:val="000000"/>
                <w:highlight w:val="none"/>
                <w:lang w:val="en-US" w:eastAsia="zh-CN"/>
              </w:rPr>
              <w:t>9</w:t>
            </w:r>
            <w:r>
              <w:rPr>
                <w:color w:val="000000"/>
                <w:highlight w:val="none"/>
              </w:rPr>
              <w:t>分。（须提供</w:t>
            </w:r>
            <w:r>
              <w:rPr>
                <w:rFonts w:hint="eastAsia"/>
                <w:color w:val="000000"/>
                <w:highlight w:val="none"/>
              </w:rPr>
              <w:t>合同</w:t>
            </w:r>
            <w:r>
              <w:rPr>
                <w:color w:val="000000"/>
                <w:highlight w:val="none"/>
              </w:rPr>
              <w:t>复印件）</w:t>
            </w:r>
          </w:p>
          <w:p>
            <w:pPr>
              <w:pStyle w:val="4"/>
              <w:rPr>
                <w:rFonts w:hint="eastAsia"/>
                <w:lang w:eastAsia="zh-CN"/>
              </w:rPr>
            </w:pPr>
            <w:r>
              <w:rPr>
                <w:rFonts w:hint="eastAsia" w:ascii="宋体" w:hAnsi="宋体" w:eastAsia="宋体" w:cs="宋体"/>
                <w:b w:val="0"/>
                <w:bCs/>
                <w:caps w:val="0"/>
                <w:color w:val="000000"/>
                <w:kern w:val="2"/>
                <w:sz w:val="21"/>
                <w:szCs w:val="21"/>
                <w:highlight w:val="none"/>
                <w:u w:val="none"/>
                <w:lang w:val="en-US" w:eastAsia="zh-CN" w:bidi="ar-SA"/>
              </w:rPr>
              <w:t>不提供不得分</w:t>
            </w:r>
            <w:r>
              <w:rPr>
                <w:rFonts w:hint="eastAsia" w:ascii="宋体" w:hAnsi="宋体" w:cs="宋体"/>
                <w:b w:val="0"/>
                <w:bCs/>
                <w:caps w:val="0"/>
                <w:color w:val="000000"/>
                <w:kern w:val="2"/>
                <w:sz w:val="21"/>
                <w:szCs w:val="21"/>
                <w:highlight w:val="none"/>
                <w:u w:val="none"/>
                <w:lang w:val="en-US" w:eastAsia="zh-CN" w:bidi="ar-SA"/>
              </w:rPr>
              <w:t>。</w:t>
            </w:r>
          </w:p>
          <w:p>
            <w:pPr>
              <w:pStyle w:val="3"/>
              <w:spacing w:line="312" w:lineRule="auto"/>
              <w:ind w:firstLine="420" w:firstLineChars="200"/>
              <w:rPr>
                <w:color w:val="000000"/>
                <w:highlight w:val="none"/>
              </w:rPr>
            </w:pPr>
          </w:p>
        </w:tc>
        <w:tc>
          <w:tcPr>
            <w:tcW w:w="816" w:type="dxa"/>
            <w:noWrap w:val="0"/>
            <w:vAlign w:val="center"/>
          </w:tcPr>
          <w:p>
            <w:pPr>
              <w:pStyle w:val="3"/>
              <w:spacing w:line="312" w:lineRule="auto"/>
              <w:ind w:firstLine="420" w:firstLineChars="200"/>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860" w:type="dxa"/>
            <w:gridSpan w:val="4"/>
            <w:noWrap w:val="0"/>
            <w:vAlign w:val="center"/>
          </w:tcPr>
          <w:p>
            <w:pPr>
              <w:pStyle w:val="3"/>
              <w:spacing w:line="360" w:lineRule="auto"/>
              <w:ind w:firstLine="420"/>
              <w:rPr>
                <w:rFonts w:hAnsi="宋体" w:cs="Courier New"/>
                <w:bCs/>
                <w:color w:val="000000"/>
                <w:highlight w:val="none"/>
              </w:rPr>
            </w:pPr>
            <w:r>
              <w:rPr>
                <w:rFonts w:hint="eastAsia" w:hAnsi="宋体" w:cs="Courier New"/>
                <w:b/>
                <w:bCs/>
                <w:color w:val="000000"/>
                <w:highlight w:val="none"/>
              </w:rPr>
              <w:t>总得分=1+2+3。</w:t>
            </w:r>
          </w:p>
        </w:tc>
        <w:tc>
          <w:tcPr>
            <w:tcW w:w="816" w:type="dxa"/>
            <w:noWrap w:val="0"/>
            <w:vAlign w:val="center"/>
          </w:tcPr>
          <w:p>
            <w:pPr>
              <w:pStyle w:val="3"/>
              <w:spacing w:line="360" w:lineRule="auto"/>
              <w:ind w:firstLine="420"/>
              <w:rPr>
                <w:rFonts w:hint="eastAsia" w:hAnsi="宋体" w:cs="Courier New"/>
                <w:b/>
                <w:bCs/>
                <w:color w:val="000000"/>
                <w:highlight w:val="none"/>
              </w:rPr>
            </w:pPr>
          </w:p>
        </w:tc>
      </w:tr>
    </w:tbl>
    <w:p>
      <w:pPr>
        <w:pStyle w:val="3"/>
        <w:keepLines/>
        <w:spacing w:line="360" w:lineRule="auto"/>
        <w:ind w:firstLine="420"/>
        <w:rPr>
          <w:rFonts w:hint="eastAsia" w:hAnsi="宋体" w:eastAsia="宋体"/>
          <w:b/>
          <w:bCs w:val="0"/>
          <w:color w:val="000000"/>
          <w:highlight w:val="none"/>
          <w:lang w:eastAsia="zh-CN"/>
        </w:rPr>
      </w:pPr>
      <w:r>
        <w:rPr>
          <w:rFonts w:hint="eastAsia" w:hAnsi="宋体"/>
          <w:b/>
          <w:bCs w:val="0"/>
          <w:color w:val="000000"/>
          <w:highlight w:val="none"/>
        </w:rPr>
        <w:t>注：计分方法按四舍五入取至百分位</w:t>
      </w:r>
      <w:r>
        <w:rPr>
          <w:rFonts w:hint="eastAsia" w:hAnsi="宋体"/>
          <w:b/>
          <w:bCs w:val="0"/>
          <w:color w:val="000000"/>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MWVjMzZhOTYxYzQyNmY0YmI3MjNkZmU2YjZlY2EifQ=="/>
  </w:docVars>
  <w:rsids>
    <w:rsidRoot w:val="52B07F5D"/>
    <w:rsid w:val="0CB70EB5"/>
    <w:rsid w:val="128F71B2"/>
    <w:rsid w:val="21E1313B"/>
    <w:rsid w:val="22B017B6"/>
    <w:rsid w:val="2EC772F9"/>
    <w:rsid w:val="39BBB088"/>
    <w:rsid w:val="3A0F7DC2"/>
    <w:rsid w:val="52B07F5D"/>
    <w:rsid w:val="566811F2"/>
    <w:rsid w:val="595F5C6F"/>
    <w:rsid w:val="598C1B51"/>
    <w:rsid w:val="5B335CED"/>
    <w:rsid w:val="5D1C565F"/>
    <w:rsid w:val="5F026B9C"/>
    <w:rsid w:val="6B681E26"/>
    <w:rsid w:val="8D7B73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Plain Text"/>
    <w:basedOn w:val="1"/>
    <w:next w:val="4"/>
    <w:qFormat/>
    <w:uiPriority w:val="0"/>
    <w:rPr>
      <w:rFonts w:ascii="宋体" w:hAnsi="Courier New" w:eastAsia="宋体" w:cs="Times New Roman"/>
      <w:szCs w:val="20"/>
    </w:rPr>
  </w:style>
  <w:style w:type="paragraph" w:styleId="4">
    <w:name w:val="toc 1"/>
    <w:basedOn w:val="1"/>
    <w:next w:val="1"/>
    <w:qFormat/>
    <w:uiPriority w:val="0"/>
    <w:pPr>
      <w:spacing w:before="360" w:after="360"/>
      <w:jc w:val="left"/>
    </w:pPr>
    <w:rPr>
      <w:rFonts w:ascii="Calibri" w:hAnsi="Calibri" w:eastAsia="宋体" w:cs="Times New Roman"/>
      <w:b/>
      <w:bCs/>
      <w:caps/>
      <w:sz w:val="22"/>
      <w:szCs w:val="22"/>
      <w:u w:val="single"/>
    </w:rPr>
  </w:style>
  <w:style w:type="paragraph" w:styleId="5">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1108</Words>
  <Characters>1126</Characters>
  <Lines>0</Lines>
  <Paragraphs>0</Paragraphs>
  <TotalTime>1</TotalTime>
  <ScaleCrop>false</ScaleCrop>
  <LinksUpToDate>false</LinksUpToDate>
  <CharactersWithSpaces>1126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2024-04-15T16:26:00Z</dcterms:created>
  <dc:creator>Administrator</dc:creator>
  <cp:lastModifiedBy>慶</cp:lastModifiedBy>
  <dcterms:modified xsi:type="dcterms:W3CDTF">2025-10-24T12:03:00Z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220C268B16BA44A7BE8873AA3689898A_13</vt:lpwstr>
  </property>
  <property fmtid="{D5CDD505-2E9C-101B-9397-08002B2CF9AE}" pid="4" name="KSOTemplateDocerSaveRecord">
    <vt:lpwstr>eyJoZGlkIjoiNWE0YTk4Y2VjMWZmM2ZhNzJjYzJhNDU3N2ZhYzZhNTAiLCJ1c2VySWQiOiIzODY5ODE0NDQifQ==</vt:lpwstr>
  </property>
</Properties>
</file>