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0C9E">
      <w:pPr>
        <w:spacing w:before="120" w:line="320" w:lineRule="atLeast"/>
        <w:outlineLvl w:val="1"/>
        <w:rPr>
          <w:rFonts w:hint="eastAsia" w:ascii="宋体" w:hAnsi="宋体" w:eastAsia="宋体" w:cs="宋体"/>
          <w:b/>
          <w:szCs w:val="21"/>
          <w:highlight w:val="none"/>
        </w:rPr>
      </w:pPr>
    </w:p>
    <w:tbl>
      <w:tblPr>
        <w:tblStyle w:val="7"/>
        <w:tblpPr w:leftFromText="180" w:rightFromText="180" w:vertAnchor="text" w:horzAnchor="page" w:tblpX="1401" w:tblpY="263"/>
        <w:tblOverlap w:val="never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31"/>
        <w:gridCol w:w="728"/>
        <w:gridCol w:w="4218"/>
        <w:gridCol w:w="2425"/>
      </w:tblGrid>
      <w:tr w14:paraId="1450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4" w:type="dxa"/>
            <w:noWrap w:val="0"/>
            <w:vAlign w:val="center"/>
          </w:tcPr>
          <w:p w14:paraId="5AA75AD7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1531" w:type="dxa"/>
            <w:noWrap w:val="0"/>
            <w:vAlign w:val="center"/>
          </w:tcPr>
          <w:p w14:paraId="3433D0E6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评审因素及分值</w:t>
            </w:r>
          </w:p>
        </w:tc>
        <w:tc>
          <w:tcPr>
            <w:tcW w:w="728" w:type="dxa"/>
            <w:noWrap w:val="0"/>
            <w:vAlign w:val="center"/>
          </w:tcPr>
          <w:p w14:paraId="59B11A8B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分值</w:t>
            </w:r>
          </w:p>
          <w:p w14:paraId="39D85920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属性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 w14:paraId="62FC9C6D">
            <w:pPr>
              <w:jc w:val="center"/>
              <w:rPr>
                <w:rFonts w:hint="eastAsia" w:ascii="宋体" w:hAnsi="宋体" w:eastAsia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评审标准</w:t>
            </w:r>
          </w:p>
        </w:tc>
      </w:tr>
      <w:tr w14:paraId="5875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4" w:type="dxa"/>
            <w:vMerge w:val="restart"/>
            <w:noWrap w:val="0"/>
            <w:vAlign w:val="center"/>
          </w:tcPr>
          <w:p w14:paraId="3DB72F3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1商务部分（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分）</w:t>
            </w:r>
          </w:p>
        </w:tc>
        <w:tc>
          <w:tcPr>
            <w:tcW w:w="1531" w:type="dxa"/>
            <w:noWrap w:val="0"/>
            <w:vAlign w:val="center"/>
          </w:tcPr>
          <w:p w14:paraId="60B401B9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售后服务（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分）</w:t>
            </w:r>
          </w:p>
        </w:tc>
        <w:tc>
          <w:tcPr>
            <w:tcW w:w="728" w:type="dxa"/>
            <w:noWrap w:val="0"/>
            <w:vAlign w:val="center"/>
          </w:tcPr>
          <w:p w14:paraId="7B6D39F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主观分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 w14:paraId="7D84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一档（5分）：服务承诺简单，基本逐项对采购文件提出的要求进行服务承诺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 w14:paraId="5B77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二档（10分）：比较细致、合理、可行，保障响应措施较有力，服务经验较丰富，满足磋商采购文件的要求，服务承诺较详细，项目的后续服务能较好保障项目质量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 w14:paraId="4533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三档（15分）：服务承诺比较细致、合理、可行，保障响应措施较有力，服务经验丰富，响应时间短，快捷、迅速，有该项目详细的服务承诺方案、质量保障方案。项目的后续服务得到有力的保障，且切实可行，服务承诺和保障措施考虑周全完整详细。</w:t>
            </w:r>
          </w:p>
        </w:tc>
      </w:tr>
      <w:tr w14:paraId="4A468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934" w:type="dxa"/>
            <w:vMerge w:val="continue"/>
            <w:noWrap w:val="0"/>
            <w:vAlign w:val="center"/>
          </w:tcPr>
          <w:p w14:paraId="6913E921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5002E0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28" w:type="dxa"/>
            <w:noWrap w:val="0"/>
            <w:vAlign w:val="center"/>
          </w:tcPr>
          <w:p w14:paraId="36E73572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客观分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 w14:paraId="028C1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质保期限满足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文件基本年限要求的不得分，每多增加1年质保期得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分，最高得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分。</w:t>
            </w:r>
          </w:p>
        </w:tc>
      </w:tr>
      <w:tr w14:paraId="234B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34" w:type="dxa"/>
            <w:vMerge w:val="restart"/>
            <w:noWrap w:val="0"/>
            <w:vAlign w:val="center"/>
          </w:tcPr>
          <w:p w14:paraId="1E5CBEDC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2技术部分（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分）</w:t>
            </w:r>
          </w:p>
        </w:tc>
        <w:tc>
          <w:tcPr>
            <w:tcW w:w="1531" w:type="dxa"/>
            <w:noWrap w:val="0"/>
            <w:vAlign w:val="center"/>
          </w:tcPr>
          <w:p w14:paraId="5CD447F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产品技术分（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highlight w:val="none"/>
              </w:rPr>
              <w:t>分）</w:t>
            </w:r>
          </w:p>
        </w:tc>
        <w:tc>
          <w:tcPr>
            <w:tcW w:w="728" w:type="dxa"/>
            <w:noWrap w:val="0"/>
            <w:vAlign w:val="center"/>
          </w:tcPr>
          <w:p w14:paraId="5A99CE0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客观分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 w14:paraId="54A9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一档（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highlight w:val="none"/>
              </w:rPr>
              <w:t>分）：产品的技术参数基本满足采购文件要求；</w:t>
            </w:r>
          </w:p>
          <w:p w14:paraId="7C1E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二档（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highlight w:val="none"/>
              </w:rPr>
              <w:t>分）：产品的技术参数满足采购文件要求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；</w:t>
            </w:r>
          </w:p>
          <w:p w14:paraId="6728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highlight w:val="none"/>
              </w:rPr>
              <w:t>档（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highlight w:val="none"/>
              </w:rPr>
              <w:t>分）：产品的技术参数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优于</w:t>
            </w:r>
            <w:r>
              <w:rPr>
                <w:rFonts w:hint="eastAsia" w:ascii="宋体" w:hAnsi="宋体" w:eastAsia="宋体" w:cs="宋体"/>
                <w:highlight w:val="none"/>
              </w:rPr>
              <w:t>采购文件要求。</w:t>
            </w:r>
          </w:p>
          <w:p w14:paraId="6028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不提供产品技术方案不得分</w:t>
            </w:r>
          </w:p>
        </w:tc>
      </w:tr>
      <w:tr w14:paraId="05E0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34" w:type="dxa"/>
            <w:vMerge w:val="continue"/>
            <w:noWrap w:val="0"/>
            <w:vAlign w:val="center"/>
          </w:tcPr>
          <w:p w14:paraId="5BFF0DB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C9E82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项目实施方案分（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分）</w:t>
            </w:r>
          </w:p>
        </w:tc>
        <w:tc>
          <w:tcPr>
            <w:tcW w:w="728" w:type="dxa"/>
            <w:noWrap w:val="0"/>
            <w:vAlign w:val="center"/>
          </w:tcPr>
          <w:p w14:paraId="19ECF71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主观分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 w14:paraId="0FF05E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一档（5分）：项目实施方案简单，基本满足项目要求。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二档（10分）：提供了较为具体的项目实施方案，实施方式有简单的分析，具有可行性，方案满足项目要求。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三档（15分）：提供了具体的实施方案，实施方案有详细的分析，实施方案可行性高，科学合理，有完善的实施计划、验收计划和质量保证等。</w:t>
            </w:r>
          </w:p>
        </w:tc>
      </w:tr>
      <w:tr w14:paraId="09BE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4" w:type="dxa"/>
            <w:vMerge w:val="continue"/>
            <w:noWrap w:val="0"/>
            <w:vAlign w:val="center"/>
          </w:tcPr>
          <w:p w14:paraId="2361479D">
            <w:pPr>
              <w:jc w:val="left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CA48E77">
            <w:pPr>
              <w:pStyle w:val="6"/>
              <w:numPr>
                <w:ilvl w:val="0"/>
                <w:numId w:val="0"/>
              </w:numPr>
              <w:adjustRightInd w:val="0"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highlight w:val="none"/>
                <w:lang w:val="en-US" w:eastAsia="zh-CN"/>
              </w:rPr>
              <w:t>交货期保证措施（</w:t>
            </w:r>
            <w:r>
              <w:rPr>
                <w:rFonts w:hint="eastAsia" w:hAnsi="宋体" w:cs="宋体"/>
                <w:b w:val="0"/>
                <w:bCs w:val="0"/>
                <w:color w:val="00000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highlight w:val="none"/>
                <w:lang w:val="en-US" w:eastAsia="zh-CN"/>
              </w:rPr>
              <w:t>分）</w:t>
            </w:r>
          </w:p>
        </w:tc>
        <w:tc>
          <w:tcPr>
            <w:tcW w:w="728" w:type="dxa"/>
            <w:noWrap w:val="0"/>
            <w:vAlign w:val="center"/>
          </w:tcPr>
          <w:p w14:paraId="3890C0A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主观分</w:t>
            </w:r>
          </w:p>
        </w:tc>
        <w:tc>
          <w:tcPr>
            <w:tcW w:w="6643" w:type="dxa"/>
            <w:gridSpan w:val="2"/>
            <w:noWrap w:val="0"/>
            <w:vAlign w:val="center"/>
          </w:tcPr>
          <w:p w14:paraId="0FC29E6D">
            <w:pPr>
              <w:pStyle w:val="6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一档（</w:t>
            </w: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分）：交货期保证措施一般，保证措施不到位，有可能影响按时交货，可行性差。</w:t>
            </w:r>
          </w:p>
          <w:p w14:paraId="79B4D684">
            <w:pPr>
              <w:pStyle w:val="6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二档（1</w:t>
            </w: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分）：交货期保证措施较完善，保证措施较合理，能较好的保证按时交货，具备一定可行性。</w:t>
            </w:r>
          </w:p>
          <w:p w14:paraId="4AFD462B">
            <w:pPr>
              <w:pStyle w:val="6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三档（</w:t>
            </w:r>
            <w:r>
              <w:rPr>
                <w:rFonts w:hint="eastAsia" w:hAnsi="宋体" w:cs="宋体"/>
                <w:color w:val="000000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分）：交货期保证措施完善，保证措施切合实际，科学可行，对按时交货保障力度强。</w:t>
            </w:r>
          </w:p>
        </w:tc>
      </w:tr>
      <w:tr w14:paraId="0A63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" w:type="dxa"/>
            <w:noWrap w:val="0"/>
            <w:vAlign w:val="center"/>
          </w:tcPr>
          <w:p w14:paraId="7D3B05F3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3磋商报价（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0分）</w:t>
            </w:r>
          </w:p>
        </w:tc>
        <w:tc>
          <w:tcPr>
            <w:tcW w:w="1531" w:type="dxa"/>
            <w:noWrap w:val="0"/>
            <w:vAlign w:val="center"/>
          </w:tcPr>
          <w:p w14:paraId="04A5B1F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磋商报价</w:t>
            </w:r>
          </w:p>
          <w:p w14:paraId="1F0D9860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0分）</w:t>
            </w:r>
          </w:p>
        </w:tc>
        <w:tc>
          <w:tcPr>
            <w:tcW w:w="728" w:type="dxa"/>
            <w:noWrap w:val="0"/>
            <w:vAlign w:val="center"/>
          </w:tcPr>
          <w:p w14:paraId="66C6EF09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客观分</w:t>
            </w:r>
          </w:p>
        </w:tc>
        <w:tc>
          <w:tcPr>
            <w:tcW w:w="4218" w:type="dxa"/>
            <w:noWrap w:val="0"/>
            <w:vAlign w:val="center"/>
          </w:tcPr>
          <w:p w14:paraId="453015FD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以满足磋商文件要求且最后响应价格最低的磋商报价为评审基准价，其价格分为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0分。其他供应商的价格分统一按照下列公式计算：磋商报价得分=（评审基准价/磋商报价）×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0。</w:t>
            </w:r>
          </w:p>
        </w:tc>
        <w:tc>
          <w:tcPr>
            <w:tcW w:w="2425" w:type="dxa"/>
            <w:noWrap w:val="0"/>
            <w:vAlign w:val="center"/>
          </w:tcPr>
          <w:p w14:paraId="36E8526C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磋商报价计算时均为供应商的实际磋商最后报价进行。最终成交金额＝磋商最后报价。</w:t>
            </w:r>
          </w:p>
        </w:tc>
      </w:tr>
      <w:bookmarkEnd w:id="0"/>
      <w:tr w14:paraId="2C70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" w:type="dxa"/>
            <w:noWrap w:val="0"/>
            <w:vAlign w:val="center"/>
          </w:tcPr>
          <w:p w14:paraId="427B2646">
            <w:pPr>
              <w:jc w:val="righ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4综合得分</w:t>
            </w:r>
          </w:p>
        </w:tc>
        <w:tc>
          <w:tcPr>
            <w:tcW w:w="8902" w:type="dxa"/>
            <w:gridSpan w:val="4"/>
            <w:noWrap w:val="0"/>
            <w:vAlign w:val="center"/>
          </w:tcPr>
          <w:p w14:paraId="34E1AAA5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=1+2+3 （各项评分分值计算保留小数点后两位，小数点后第三位“四舍五入”）</w:t>
            </w:r>
          </w:p>
        </w:tc>
      </w:tr>
    </w:tbl>
    <w:p w14:paraId="4281F9E8">
      <w:pPr>
        <w:pStyle w:val="2"/>
        <w:rPr>
          <w:rFonts w:hint="eastAsia" w:ascii="宋体" w:hAnsi="宋体" w:eastAsia="宋体" w:cs="宋体"/>
          <w:highlight w:val="none"/>
        </w:rPr>
      </w:pPr>
    </w:p>
    <w:p w14:paraId="0149F1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YWRkMmVjMzZlYWFjNDAxM2E4YjI4ZjU2Yzk3ZGIifQ=="/>
  </w:docVars>
  <w:rsids>
    <w:rsidRoot w:val="00000000"/>
    <w:rsid w:val="1CA66359"/>
    <w:rsid w:val="3DEB3BEF"/>
    <w:rsid w:val="40F44CF9"/>
    <w:rsid w:val="53DA58D3"/>
    <w:rsid w:val="5D2B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styleId="3">
    <w:name w:val="Body Text Indent"/>
    <w:basedOn w:val="1"/>
    <w:next w:val="4"/>
    <w:qFormat/>
    <w:uiPriority w:val="99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903</Characters>
  <Lines>0</Lines>
  <Paragraphs>0</Paragraphs>
  <TotalTime>16</TotalTime>
  <ScaleCrop>false</ScaleCrop>
  <LinksUpToDate>false</LinksUpToDate>
  <CharactersWithSpaces>905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2024-11-08T03:59:00Z</dcterms:created>
  <dc:creator>gp</dc:creator>
  <cp:lastModifiedBy>社会主义接班人</cp:lastModifiedBy>
  <dcterms:modified xsi:type="dcterms:W3CDTF">2025-10-23T02:05:41Z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25A84F533A684CBCA6DF6F12C1E3026C_12</vt:lpwstr>
  </property>
  <property fmtid="{D5CDD505-2E9C-101B-9397-08002B2CF9AE}" pid="4" name="KSOTemplateDocerSaveRecord">
    <vt:lpwstr>eyJoZGlkIjoiZDM2MTk0NjljMDZlYTgxYmExNWQzMDI4NjM0ZGI4ODUiLCJ1c2VySWQiOiIzMTU0MzU4MDIifQ==</vt:lpwstr>
  </property>
</Properties>
</file>