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AA64">
      <w:pPr>
        <w:tabs>
          <w:tab w:val="right" w:pos="8306"/>
        </w:tabs>
        <w:spacing w:line="360" w:lineRule="auto"/>
        <w:jc w:val="center"/>
        <w:rPr>
          <w:rStyle w:val="43"/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r>
        <w:rPr>
          <w:rStyle w:val="43"/>
          <w:rFonts w:hint="eastAsia" w:ascii="宋体" w:hAnsi="宋体" w:cs="宋体"/>
          <w:b/>
          <w:bCs w:val="0"/>
          <w:sz w:val="28"/>
          <w:szCs w:val="28"/>
          <w:lang w:val="en-US" w:eastAsia="zh-CN"/>
        </w:rPr>
        <w:t>表1</w:t>
      </w:r>
      <w:r>
        <w:rPr>
          <w:rStyle w:val="43"/>
          <w:rFonts w:hint="eastAsia" w:ascii="宋体" w:hAnsi="宋体" w:eastAsia="宋体" w:cs="宋体"/>
          <w:b/>
          <w:bCs w:val="0"/>
          <w:sz w:val="28"/>
          <w:szCs w:val="28"/>
        </w:rPr>
        <w:t xml:space="preserve">  </w:t>
      </w:r>
      <w:r>
        <w:rPr>
          <w:rStyle w:val="43"/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总院射线装置</w:t>
      </w:r>
      <w:r>
        <w:rPr>
          <w:rStyle w:val="43"/>
          <w:rFonts w:hint="eastAsia" w:ascii="宋体" w:hAnsi="宋体" w:eastAsia="宋体" w:cs="宋体"/>
          <w:b/>
          <w:bCs w:val="0"/>
          <w:sz w:val="28"/>
          <w:szCs w:val="28"/>
        </w:rPr>
        <w:t>明细</w:t>
      </w:r>
    </w:p>
    <w:bookmarkEnd w:id="0"/>
    <w:tbl>
      <w:tblPr>
        <w:tblStyle w:val="5"/>
        <w:tblW w:w="98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77"/>
        <w:gridCol w:w="1270"/>
        <w:gridCol w:w="1240"/>
        <w:gridCol w:w="1643"/>
        <w:gridCol w:w="621"/>
        <w:gridCol w:w="752"/>
        <w:gridCol w:w="747"/>
        <w:gridCol w:w="1788"/>
      </w:tblGrid>
      <w:tr w14:paraId="2E7C6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0D0994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42570B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6FC509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型号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3993E8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设备编号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C465C7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生产厂家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D400C3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射线装置分类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41207BA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最高管电压(kV)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FE28ED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最大输出电流(mA)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507BC0">
            <w:pPr>
              <w:jc w:val="center"/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场所</w:t>
            </w:r>
          </w:p>
        </w:tc>
      </w:tr>
      <w:tr w14:paraId="30803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9D86C0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85643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医用电子直线加速器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6F670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Elekta Synergy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C8023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4644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E641D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医科达医疗器械有限公司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ED15B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Ⅱ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742B0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粒子能量</w:t>
            </w: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6MeV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4CC3E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粒子能量</w:t>
            </w: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6MeV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F131B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医技楼一楼放射治疗部</w:t>
            </w:r>
          </w:p>
          <w:p w14:paraId="1C85A99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直线加速器治疗室</w:t>
            </w:r>
          </w:p>
        </w:tc>
      </w:tr>
      <w:tr w14:paraId="623B6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3B0F41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5CCD70">
            <w:pPr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放射治疗模拟定位机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904751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BMD-2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CB2514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AD160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27102C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医科达北研（北京）医疗器械有限公司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2D299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7A100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125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567824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500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4D93D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综合楼医技楼1楼肿瘤科放疗部模拟定位机机房</w:t>
            </w:r>
          </w:p>
        </w:tc>
      </w:tr>
      <w:tr w14:paraId="4A5E4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CD0026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CB127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数字减影血管造影X射线机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18D5D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Artis zee Ⅲceiling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9AAC4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106360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AAEF3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7523F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德国西门子医疗器械有限公司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89A7F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Ⅱ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F3701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125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57D3E9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14259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（5号楼）医技楼1楼影像学科5109室（导管室）</w:t>
            </w:r>
          </w:p>
        </w:tc>
      </w:tr>
      <w:tr w14:paraId="5B978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57017A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516076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医用诊断X射线透视摄影系统（DR）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D7F28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D-VISION PLUS 50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B7461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61Z343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8981D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北京岛津医疗器械有限公司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0F669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9AB621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9F63FA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82D3C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（5号楼）医技楼1楼影像学科5113室DR检查（2）室</w:t>
            </w:r>
          </w:p>
          <w:p w14:paraId="6A4626A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570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376429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8C928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数字化X射线成像系统（DR）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666A9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0170 Intuition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8A7CE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1189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4396C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瑞典影美科思Arcoma AB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7D5C7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74393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A28B3D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CBC76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（5号楼）医技楼1楼影像学科5103室DR检查（1）室</w:t>
            </w:r>
          </w:p>
        </w:tc>
      </w:tr>
      <w:tr w14:paraId="6BF3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AB1829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3A462E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数字乳腺X射线摄影系统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6DF063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Selenia Dimensions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26229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GAN170100183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87E61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Hologic, Inc.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CC64B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DFBBE10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49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6CB2A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6C440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（5号楼）医技楼1楼影像学科5112乳腺检查间</w:t>
            </w:r>
          </w:p>
        </w:tc>
      </w:tr>
      <w:tr w14:paraId="4D622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9710C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C13A1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X射线计算机体层摄影设备（32排CT）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14A72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SOMATOM go.All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6718F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118277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19F60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上海西门子医疗器械有限公司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6818A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1C2781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B03B6BF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625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7884B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（5号楼）医技楼1楼医学影像科CT1室（5115室）</w:t>
            </w:r>
          </w:p>
        </w:tc>
      </w:tr>
      <w:tr w14:paraId="50BAC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533764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2E9D52">
            <w:pPr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牙科X射线机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195C52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ERGON-X HF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5E207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206/18/00509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9A0CEC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INTERMEDICAL SRL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33B34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8185C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70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E6C09E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96206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总院门诊楼5楼口腔科X射线室</w:t>
            </w:r>
          </w:p>
        </w:tc>
      </w:tr>
      <w:tr w14:paraId="79C3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9C003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E72BA9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移动式C型臂X射线机</w:t>
            </w:r>
          </w:p>
          <w:p w14:paraId="04BA095D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（小C臂）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29DA8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Ziehm Vision</w:t>
            </w:r>
          </w:p>
          <w:p w14:paraId="2116A15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FOVario3D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97B169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90849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D28E8A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德国奇目医疗器械贸易有限公司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F9EC7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563F25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16ABE2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2BBD4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07DA0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1号住院楼6楼1号手术室</w:t>
            </w:r>
          </w:p>
        </w:tc>
      </w:tr>
      <w:tr w14:paraId="2A888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4E11E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056630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体外冲击波</w:t>
            </w:r>
          </w:p>
          <w:p w14:paraId="59B3756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碎石机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1C02A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HB-ESWL-VG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C8DAB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725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069C23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广东湛江经济技术开发区滨海医疗器械有限公司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AEAFD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314351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5D10D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69A69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（5号楼）医技楼2楼碎石室</w:t>
            </w:r>
          </w:p>
        </w:tc>
      </w:tr>
      <w:tr w14:paraId="1EBA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67EF855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EBD48A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B7E687E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型号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6C7DFB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设备编号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B2D9F1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生产厂家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D6F519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射线装置分类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FFCCC7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最高管电压(kV)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731F8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最大输出电流(mA)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0F914A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场所</w:t>
            </w:r>
          </w:p>
        </w:tc>
      </w:tr>
      <w:tr w14:paraId="4BF01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DEA91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DAAF6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 xml:space="preserve">X射线计算机断层摄影设备（CT） 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DF95F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SOMATOM go.Top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17759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120101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F08B8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上海西门子医疗器械有限公司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CC3A4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0E4952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4B9BCA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625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92145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江北院区放射科一楼1室（CT室）</w:t>
            </w:r>
          </w:p>
        </w:tc>
      </w:tr>
      <w:tr w14:paraId="68E0D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767E0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96981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数字化厢式X射线机（车载DR）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BB604B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AKHX-55H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B54B3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17091004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98A23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深圳艾科瑞电气有限公司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07A80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DE8DB4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57A261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630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0CBAF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金龙牌大型专用客车（非载客）（桂R11608）</w:t>
            </w:r>
          </w:p>
        </w:tc>
      </w:tr>
      <w:tr w14:paraId="42B6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8190E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99655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数字化摄影X射线（DR）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3D9A5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AeroDR C80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AC905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ZK0100-0006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2D61B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柯尼卡美能达再启医疗设备（上海）有限公司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52573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A352E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B87C3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35F05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门诊楼1楼</w:t>
            </w:r>
          </w:p>
          <w:p w14:paraId="7566DFE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110DR室</w:t>
            </w:r>
          </w:p>
        </w:tc>
      </w:tr>
      <w:tr w14:paraId="2AF5B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EE122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7A5EB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数字化摄影X射线（DR）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B885E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AeroDR C80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6DE8B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ZK0100-0004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AFEA3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柯尼卡美能达再启医疗设备（上海）有限公司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EC9F0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EAC1D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9E8E5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6FA43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门诊楼6楼630DR室</w:t>
            </w:r>
          </w:p>
        </w:tc>
      </w:tr>
      <w:tr w14:paraId="4F018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8B8CB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B59728">
            <w:pPr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口腔额面锥形束计算机体层摄影设备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A065C7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OP300-1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4541F6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IE2109077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B2A065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Instrumentarium</w:t>
            </w:r>
          </w:p>
          <w:p w14:paraId="76BEC488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Dental,Palo DEx Group Oy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E7E54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2C53CD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90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BF59A7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7CDC1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总院门诊楼5楼口腔CT室</w:t>
            </w:r>
          </w:p>
        </w:tc>
      </w:tr>
      <w:tr w14:paraId="45B3C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8BF59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A0309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X射线计算机体层摄影设备（能谱CT）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F2AEE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IQon Spectral CT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C7FE9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860169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281BF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飞利浦医疗系统荷兰有限公司</w:t>
            </w:r>
          </w:p>
          <w:p w14:paraId="7F79A04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A7439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55D408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B53B6F0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24C0E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（5号楼）医技楼1楼放射科能谱CT室（5106）</w:t>
            </w:r>
          </w:p>
        </w:tc>
      </w:tr>
      <w:tr w14:paraId="5837F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67DA2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22E24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双能量X射线骨密度仪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B5A11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AKDX-09W-I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ED6E5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18072008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B6C3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深圳艾克瑞电气有限公司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B0F668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BC551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80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337C1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1.2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6C8EC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新门诊楼四楼410室</w:t>
            </w:r>
          </w:p>
        </w:tc>
      </w:tr>
      <w:tr w14:paraId="43B21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0123CD7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012CE4F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F329EA0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型号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C28472D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设备编号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D69EAF9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生产厂家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ABEA544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射线装置分类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13FD5EE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最高管电压(kV)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44A5116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最大输出电流(mA)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5F0A15B">
            <w:pPr>
              <w:jc w:val="center"/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Style w:val="43"/>
                <w:rFonts w:hint="default" w:ascii="黑体" w:hAnsi="黑体" w:eastAsia="黑体" w:cs="黑体"/>
                <w:bCs/>
                <w:kern w:val="0"/>
                <w:sz w:val="24"/>
                <w:szCs w:val="24"/>
                <w:lang w:val="zh-CN"/>
              </w:rPr>
              <w:t>场所</w:t>
            </w:r>
          </w:p>
        </w:tc>
      </w:tr>
      <w:tr w14:paraId="7D328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D0269E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4A7CA5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X射线计算机体层摄影设备（车载CT 32排）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33E280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Neuviz64 In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D5CEEB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N64In200327E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171D17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东软医疗系统股份有限公司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10F36E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5381F64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C0A0CD6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420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073F81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陆平机器重型非载货专用车（桂R27120）</w:t>
            </w:r>
          </w:p>
        </w:tc>
      </w:tr>
      <w:tr w14:paraId="24347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633EA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BF93E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数字化X射线成像系统（DR）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21FD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 xml:space="preserve">AeroDR C80 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20B8F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ZK0100-0009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B1DA8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柯尼卡美能达再启医疗设备（上海）有限公司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AF66B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E3C8B5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599B2B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604BE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江北院区放射科一楼2室（DR室）</w:t>
            </w:r>
          </w:p>
        </w:tc>
      </w:tr>
      <w:tr w14:paraId="7D7CC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DB73D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D2FD3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数字血管造影X射线机（江北DSA）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75EAB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Artis Q ceiling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D1A75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109973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997FF8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Siemens Healthcare GmbH</w:t>
            </w:r>
          </w:p>
          <w:p w14:paraId="589B10C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793EB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Ⅱ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2223A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125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E0E9D2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6B3BC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江北院区1号内科楼1楼影像科106室（导管室）</w:t>
            </w:r>
          </w:p>
        </w:tc>
      </w:tr>
      <w:tr w14:paraId="38D6A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AA4929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37B2CF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数字X射线成像系统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621321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Digital Diagnost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F8F582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18000098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BE2326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Philips Medical Systems</w:t>
            </w:r>
          </w:p>
          <w:p w14:paraId="7C2EDCB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DNG GmbH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13FB06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03EAAB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5D6518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724EB5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桂平市人民医院第二门诊部一楼放射科DR室</w:t>
            </w:r>
          </w:p>
        </w:tc>
      </w:tr>
      <w:tr w14:paraId="0BB1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460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552581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1B3B60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X射线计算机体层摄影设备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38EFFE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 xml:space="preserve">SOMATOM </w:t>
            </w:r>
          </w:p>
          <w:p w14:paraId="78028BF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Perspective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9E16E7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59763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D7C4E0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上海西门子医疗器械有限公司</w:t>
            </w:r>
          </w:p>
        </w:tc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F6DF2E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D13005B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747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ACA9F6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107666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桂平市人民医院第二门诊部一楼放射科CT室</w:t>
            </w:r>
          </w:p>
        </w:tc>
      </w:tr>
      <w:tr w14:paraId="62E3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370D36C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5E7ED1C7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移动式数字摄影X线系统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04950AB5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MUX-200D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1B6433C7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62E175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50E6E9F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北京岛津医疗器械有限公司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06A29AF6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III</w:t>
            </w: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1BAC5E4F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133</w:t>
            </w: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2743F45B">
            <w:pPr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75</w:t>
            </w: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4BACC6" w:themeColor="accent5" w:sz="2" w:space="0"/>
              <w:bottom w:val="single" w:color="4BACC6" w:themeColor="accent5" w:sz="2" w:space="0"/>
              <w:right w:val="single" w:color="4BACC6" w:themeColor="accent5" w:sz="2" w:space="0"/>
            </w:tcBorders>
            <w:shd w:val="clear" w:color="auto" w:fill="FFFFFF" w:themeFill="background1"/>
            <w:vAlign w:val="center"/>
          </w:tcPr>
          <w:p w14:paraId="54E3691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（5号楼）医技楼1楼影像学科5102室存放</w:t>
            </w:r>
          </w:p>
        </w:tc>
      </w:tr>
      <w:tr w14:paraId="1D3FF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ABF707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C1FBCE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移动式C型臂X射线机（总院内镜诊疗部ERCP）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592B33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 xml:space="preserve"> Ziehm Vision FD 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1FCE35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96639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C0187A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德国奇目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3836785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912D7CE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776B915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813138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总院门诊楼</w:t>
            </w: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7楼内镜诊疗部708ERCP室</w:t>
            </w:r>
          </w:p>
        </w:tc>
      </w:tr>
      <w:tr w14:paraId="71DFC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3F2DED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B6D189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X射线计算机体层摄影设备（24排CT）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87F501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RevolutionAdvance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59A9CD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CBDLG2400045HM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DDB2BA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航卫通用电气医疗系统有限公司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714CD2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Ⅲ</w:t>
            </w: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48E7C92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0789E18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13119A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总院急诊</w:t>
            </w: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楼1楼CT室</w:t>
            </w:r>
          </w:p>
        </w:tc>
      </w:tr>
      <w:tr w14:paraId="6FEC9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96F6E4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DDE6C0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磁共振成像系统（MRI）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CBC493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MAGNETOM Aera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360BB2D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152157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83141E9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西门子（深圳）磁共振有限公司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1E7787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9419622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7282AF3">
            <w:pPr>
              <w:snapToGrid w:val="0"/>
              <w:jc w:val="center"/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8B1CA0E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5号楼1楼放射科MR机房</w:t>
            </w:r>
          </w:p>
        </w:tc>
      </w:tr>
      <w:tr w14:paraId="50968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367F2A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6800621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磁共振成像系统（MRI）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C3A9C5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uMR780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DA48874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130063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4A191A3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上海联影医疗科技有限公司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1115CA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B8C5D4A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BE673D6">
            <w:pPr>
              <w:snapToGrid w:val="0"/>
              <w:jc w:val="center"/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000000" w:sz="2" w:space="0"/>
              <w:bottom w:val="single" w:color="4BACC6" w:themeColor="accent5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347A6E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6号楼1楼医技楼1楼MR室</w:t>
            </w:r>
          </w:p>
        </w:tc>
      </w:tr>
      <w:tr w14:paraId="66AE9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46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D09049F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77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D68AE50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磁共振成像系统（MRI）</w:t>
            </w:r>
          </w:p>
        </w:tc>
        <w:tc>
          <w:tcPr>
            <w:tcW w:w="127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63680EC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Prodiva 1.5T CS</w:t>
            </w:r>
          </w:p>
        </w:tc>
        <w:tc>
          <w:tcPr>
            <w:tcW w:w="1240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E3160B8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82308</w:t>
            </w:r>
          </w:p>
        </w:tc>
        <w:tc>
          <w:tcPr>
            <w:tcW w:w="1643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C83401A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飞利浦医疗（苏州）有限公司</w:t>
            </w:r>
          </w:p>
        </w:tc>
        <w:tc>
          <w:tcPr>
            <w:tcW w:w="621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E00A177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73F7893">
            <w:pPr>
              <w:snapToGrid w:val="0"/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DFABEA6">
            <w:pPr>
              <w:snapToGrid w:val="0"/>
              <w:jc w:val="center"/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4BACC6" w:themeColor="accent5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2D959A2">
            <w:pPr>
              <w:jc w:val="center"/>
              <w:rPr>
                <w:rStyle w:val="43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43"/>
                <w:rFonts w:hint="eastAsia" w:cs="Times New Roman"/>
                <w:sz w:val="24"/>
                <w:szCs w:val="24"/>
                <w:lang w:val="en-US" w:eastAsia="zh-CN"/>
              </w:rPr>
              <w:t>江北院区医技楼1楼MR室</w:t>
            </w:r>
          </w:p>
        </w:tc>
      </w:tr>
    </w:tbl>
    <w:p w14:paraId="2FCBBCCF">
      <w:pPr>
        <w:spacing w:before="120" w:line="360" w:lineRule="auto"/>
        <w:rPr>
          <w:rStyle w:val="43"/>
          <w:rFonts w:eastAsia="仿宋_GB2312"/>
          <w:b/>
          <w:sz w:val="24"/>
        </w:rPr>
      </w:pPr>
    </w:p>
    <w:p w14:paraId="1F8E9F02">
      <w:pPr>
        <w:tabs>
          <w:tab w:val="right" w:pos="8306"/>
        </w:tabs>
        <w:spacing w:line="360" w:lineRule="auto"/>
        <w:jc w:val="center"/>
        <w:rPr>
          <w:rStyle w:val="43"/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Style w:val="43"/>
          <w:rFonts w:hint="eastAsia" w:ascii="宋体" w:hAnsi="宋体" w:eastAsia="宋体" w:cs="宋体"/>
          <w:b/>
          <w:bCs w:val="0"/>
          <w:sz w:val="28"/>
          <w:szCs w:val="28"/>
        </w:rPr>
        <w:t>表2  医院非密封放射源使用情况</w:t>
      </w:r>
    </w:p>
    <w:tbl>
      <w:tblPr>
        <w:tblStyle w:val="5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2266"/>
        <w:gridCol w:w="2266"/>
        <w:gridCol w:w="2266"/>
      </w:tblGrid>
      <w:tr w14:paraId="3AB8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0F0C">
            <w:pPr>
              <w:tabs>
                <w:tab w:val="right" w:pos="8306"/>
              </w:tabs>
              <w:jc w:val="center"/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  <w:t>使用场所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D78D">
            <w:pPr>
              <w:jc w:val="center"/>
              <w:rPr>
                <w:rStyle w:val="43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  <w:t>核素种类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A769">
            <w:pPr>
              <w:tabs>
                <w:tab w:val="right" w:pos="8306"/>
              </w:tabs>
              <w:jc w:val="center"/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  <w:t>用途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9263">
            <w:pPr>
              <w:tabs>
                <w:tab w:val="right" w:pos="8306"/>
              </w:tabs>
              <w:jc w:val="center"/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43"/>
                <w:rFonts w:hint="eastAsia" w:ascii="黑体" w:hAnsi="黑体" w:eastAsia="黑体" w:cs="黑体"/>
                <w:b/>
                <w:sz w:val="24"/>
                <w:szCs w:val="24"/>
              </w:rPr>
              <w:t>分级</w:t>
            </w:r>
          </w:p>
        </w:tc>
      </w:tr>
      <w:tr w14:paraId="6D1B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83C7">
            <w:pPr>
              <w:tabs>
                <w:tab w:val="right" w:pos="8306"/>
              </w:tabs>
              <w:jc w:val="center"/>
              <w:rPr>
                <w:rStyle w:val="43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</w:rPr>
              <w:t>核医学科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8B51">
            <w:pPr>
              <w:tabs>
                <w:tab w:val="right" w:pos="8306"/>
              </w:tabs>
              <w:jc w:val="center"/>
              <w:rPr>
                <w:rStyle w:val="43"/>
              </w:rPr>
            </w:pPr>
            <w:r>
              <w:rPr>
                <w:rStyle w:val="43"/>
                <w:rFonts w:eastAsia="仿宋_GB2312"/>
                <w:sz w:val="24"/>
                <w:vertAlign w:val="superscript"/>
              </w:rPr>
              <w:t>131</w:t>
            </w:r>
            <w:r>
              <w:rPr>
                <w:rStyle w:val="43"/>
                <w:rFonts w:eastAsia="仿宋_GB2312"/>
                <w:sz w:val="24"/>
              </w:rPr>
              <w:t>I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CA4E">
            <w:pPr>
              <w:tabs>
                <w:tab w:val="right" w:pos="8306"/>
              </w:tabs>
              <w:jc w:val="center"/>
              <w:rPr>
                <w:rStyle w:val="43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</w:rPr>
              <w:t>治疗“甲亢”项目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3C68B">
            <w:pPr>
              <w:tabs>
                <w:tab w:val="right" w:pos="8306"/>
              </w:tabs>
              <w:jc w:val="center"/>
              <w:rPr>
                <w:rStyle w:val="43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</w:rPr>
              <w:t>乙级</w:t>
            </w:r>
          </w:p>
        </w:tc>
      </w:tr>
    </w:tbl>
    <w:p w14:paraId="2E284A3E">
      <w:pPr>
        <w:jc w:val="center"/>
        <w:rPr>
          <w:rStyle w:val="43"/>
          <w:rFonts w:ascii="黑体" w:hAnsi="黑体" w:eastAsia="黑体"/>
          <w:sz w:val="22"/>
          <w:szCs w:val="22"/>
        </w:rPr>
      </w:pPr>
    </w:p>
    <w:sectPr>
      <w:headerReference r:id="rId3" w:type="default"/>
      <w:pgSz w:w="11906" w:h="16838"/>
      <w:pgMar w:top="1418" w:right="1134" w:bottom="1418" w:left="141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5E23E">
    <w:pPr>
      <w:pStyle w:val="31"/>
      <w:rPr>
        <w:rStyle w:val="43"/>
        <w:color w:val="000000"/>
      </w:rPr>
    </w:pPr>
    <w:r>
      <w:rPr>
        <w:rStyle w:val="43"/>
        <w:color w:val="000000"/>
        <w:sz w:val="28"/>
        <w:szCs w:val="28"/>
      </w:rPr>
      <w:t>桂平市人民医院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jMxYmRiY2JhNDUwMDFiNTYzYmYxZDYwNzJmOWQifQ=="/>
  </w:docVars>
  <w:rsids>
    <w:rsidRoot w:val="0053643D"/>
    <w:rsid w:val="00042017"/>
    <w:rsid w:val="00051C45"/>
    <w:rsid w:val="00096AE1"/>
    <w:rsid w:val="000D54E6"/>
    <w:rsid w:val="001330FE"/>
    <w:rsid w:val="001D439D"/>
    <w:rsid w:val="00212C48"/>
    <w:rsid w:val="0026516B"/>
    <w:rsid w:val="00322144"/>
    <w:rsid w:val="003F35E8"/>
    <w:rsid w:val="004256A3"/>
    <w:rsid w:val="00490AF8"/>
    <w:rsid w:val="0050217E"/>
    <w:rsid w:val="00507C6B"/>
    <w:rsid w:val="00515571"/>
    <w:rsid w:val="00531666"/>
    <w:rsid w:val="0053643D"/>
    <w:rsid w:val="005938CA"/>
    <w:rsid w:val="00631ECA"/>
    <w:rsid w:val="00694AC5"/>
    <w:rsid w:val="006F3527"/>
    <w:rsid w:val="00710354"/>
    <w:rsid w:val="00734993"/>
    <w:rsid w:val="00792BE3"/>
    <w:rsid w:val="007B13B1"/>
    <w:rsid w:val="007B6EAF"/>
    <w:rsid w:val="008171EE"/>
    <w:rsid w:val="008502A8"/>
    <w:rsid w:val="00855814"/>
    <w:rsid w:val="008B4B8A"/>
    <w:rsid w:val="00971EAD"/>
    <w:rsid w:val="009D0902"/>
    <w:rsid w:val="009D6DCA"/>
    <w:rsid w:val="00AA6F77"/>
    <w:rsid w:val="00AF2415"/>
    <w:rsid w:val="00B32ABF"/>
    <w:rsid w:val="00B8227B"/>
    <w:rsid w:val="00BA102C"/>
    <w:rsid w:val="00BB1F64"/>
    <w:rsid w:val="00CB14ED"/>
    <w:rsid w:val="00D37AF4"/>
    <w:rsid w:val="00D85D68"/>
    <w:rsid w:val="00DB3A56"/>
    <w:rsid w:val="00E2547F"/>
    <w:rsid w:val="00E81A76"/>
    <w:rsid w:val="00F661C2"/>
    <w:rsid w:val="00F91918"/>
    <w:rsid w:val="00FC0BCE"/>
    <w:rsid w:val="01367913"/>
    <w:rsid w:val="015B75A7"/>
    <w:rsid w:val="031E11C8"/>
    <w:rsid w:val="03A60ECB"/>
    <w:rsid w:val="16CA184A"/>
    <w:rsid w:val="1BBF57C8"/>
    <w:rsid w:val="23414C16"/>
    <w:rsid w:val="2E8B0902"/>
    <w:rsid w:val="3B442041"/>
    <w:rsid w:val="497D63E0"/>
    <w:rsid w:val="5AEC0578"/>
    <w:rsid w:val="5F762A0E"/>
    <w:rsid w:val="64D77FC7"/>
    <w:rsid w:val="69D508BA"/>
    <w:rsid w:val="74822F34"/>
    <w:rsid w:val="765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日期 Char"/>
    <w:link w:val="10"/>
    <w:semiHidden/>
    <w:qFormat/>
    <w:uiPriority w:val="0"/>
    <w:rPr>
      <w:kern w:val="2"/>
      <w:sz w:val="28"/>
      <w:szCs w:val="24"/>
    </w:rPr>
  </w:style>
  <w:style w:type="paragraph" w:customStyle="1" w:styleId="10">
    <w:name w:val="日期1"/>
    <w:basedOn w:val="1"/>
    <w:next w:val="1"/>
    <w:link w:val="9"/>
    <w:qFormat/>
    <w:uiPriority w:val="0"/>
    <w:rPr>
      <w:sz w:val="28"/>
    </w:rPr>
  </w:style>
  <w:style w:type="character" w:customStyle="1" w:styleId="11">
    <w:name w:val="页脚 Char"/>
    <w:link w:val="3"/>
    <w:semiHidden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semiHidden/>
    <w:qFormat/>
    <w:uiPriority w:val="0"/>
    <w:rPr>
      <w:kern w:val="2"/>
      <w:sz w:val="18"/>
      <w:szCs w:val="18"/>
    </w:rPr>
  </w:style>
  <w:style w:type="paragraph" w:customStyle="1" w:styleId="13">
    <w:name w:val="Heading1"/>
    <w:basedOn w:val="1"/>
    <w:next w:val="14"/>
    <w:qFormat/>
    <w:uiPriority w:val="0"/>
    <w:pPr>
      <w:keepNext/>
      <w:keepLines/>
      <w:tabs>
        <w:tab w:val="left" w:pos="432"/>
      </w:tabs>
      <w:ind w:left="432" w:hanging="432"/>
    </w:pPr>
    <w:rPr>
      <w:b/>
      <w:kern w:val="44"/>
      <w:sz w:val="32"/>
      <w:szCs w:val="20"/>
    </w:rPr>
  </w:style>
  <w:style w:type="paragraph" w:customStyle="1" w:styleId="14">
    <w:name w:val="Heading2"/>
    <w:basedOn w:val="1"/>
    <w:next w:val="15"/>
    <w:qFormat/>
    <w:uiPriority w:val="0"/>
    <w:pPr>
      <w:keepNext/>
      <w:keepLines/>
      <w:tabs>
        <w:tab w:val="left" w:pos="936"/>
      </w:tabs>
      <w:spacing w:before="100"/>
      <w:ind w:left="936" w:hanging="576"/>
    </w:pPr>
    <w:rPr>
      <w:rFonts w:ascii="Arial" w:hAnsi="Arial"/>
      <w:b/>
      <w:sz w:val="28"/>
      <w:szCs w:val="20"/>
    </w:rPr>
  </w:style>
  <w:style w:type="paragraph" w:customStyle="1" w:styleId="15">
    <w:name w:val="NormalIndent"/>
    <w:basedOn w:val="1"/>
    <w:qFormat/>
    <w:uiPriority w:val="0"/>
    <w:pPr>
      <w:ind w:firstLine="200" w:firstLineChars="200"/>
    </w:pPr>
  </w:style>
  <w:style w:type="paragraph" w:customStyle="1" w:styleId="16">
    <w:name w:val="Heading3"/>
    <w:basedOn w:val="1"/>
    <w:next w:val="15"/>
    <w:qFormat/>
    <w:uiPriority w:val="0"/>
    <w:pPr>
      <w:keepNext/>
      <w:keepLines/>
      <w:tabs>
        <w:tab w:val="left" w:pos="900"/>
      </w:tabs>
      <w:ind w:left="900" w:hanging="720"/>
    </w:pPr>
    <w:rPr>
      <w:sz w:val="28"/>
      <w:szCs w:val="20"/>
    </w:rPr>
  </w:style>
  <w:style w:type="paragraph" w:customStyle="1" w:styleId="17">
    <w:name w:val="Heading4"/>
    <w:basedOn w:val="1"/>
    <w:next w:val="15"/>
    <w:qFormat/>
    <w:uiPriority w:val="0"/>
    <w:pPr>
      <w:keepNext/>
      <w:tabs>
        <w:tab w:val="left" w:pos="864"/>
      </w:tabs>
      <w:ind w:left="864" w:hanging="864"/>
      <w:jc w:val="center"/>
    </w:pPr>
    <w:rPr>
      <w:rFonts w:ascii="宋体"/>
      <w:sz w:val="28"/>
      <w:szCs w:val="20"/>
    </w:rPr>
  </w:style>
  <w:style w:type="paragraph" w:customStyle="1" w:styleId="18">
    <w:name w:val="Heading5"/>
    <w:basedOn w:val="1"/>
    <w:next w:val="15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</w:pPr>
    <w:rPr>
      <w:b/>
      <w:sz w:val="28"/>
      <w:szCs w:val="20"/>
    </w:rPr>
  </w:style>
  <w:style w:type="paragraph" w:customStyle="1" w:styleId="19">
    <w:name w:val="Heading6"/>
    <w:basedOn w:val="1"/>
    <w:next w:val="15"/>
    <w:qFormat/>
    <w:uiPriority w:val="0"/>
    <w:pPr>
      <w:keepNext/>
      <w:keepLines/>
      <w:tabs>
        <w:tab w:val="left" w:pos="1152"/>
      </w:tabs>
      <w:spacing w:before="240" w:after="64" w:line="319" w:lineRule="auto"/>
      <w:ind w:left="1152" w:hanging="1152"/>
    </w:pPr>
    <w:rPr>
      <w:rFonts w:ascii="Arial" w:hAnsi="Arial" w:eastAsia="黑体"/>
      <w:b/>
      <w:sz w:val="24"/>
      <w:szCs w:val="20"/>
    </w:rPr>
  </w:style>
  <w:style w:type="paragraph" w:customStyle="1" w:styleId="20">
    <w:name w:val="Heading7"/>
    <w:basedOn w:val="1"/>
    <w:next w:val="15"/>
    <w:qFormat/>
    <w:uiPriority w:val="0"/>
    <w:pPr>
      <w:keepNext/>
      <w:keepLines/>
      <w:tabs>
        <w:tab w:val="left" w:pos="1296"/>
      </w:tabs>
      <w:spacing w:before="240" w:after="64" w:line="319" w:lineRule="auto"/>
      <w:ind w:left="1296" w:hanging="1296"/>
    </w:pPr>
    <w:rPr>
      <w:b/>
      <w:sz w:val="24"/>
      <w:szCs w:val="20"/>
    </w:rPr>
  </w:style>
  <w:style w:type="paragraph" w:customStyle="1" w:styleId="21">
    <w:name w:val="Heading8"/>
    <w:basedOn w:val="1"/>
    <w:next w:val="15"/>
    <w:qFormat/>
    <w:uiPriority w:val="0"/>
    <w:pPr>
      <w:keepNext/>
      <w:keepLines/>
      <w:tabs>
        <w:tab w:val="left" w:pos="1440"/>
      </w:tabs>
      <w:spacing w:before="240" w:after="64" w:line="319" w:lineRule="auto"/>
      <w:ind w:left="1440" w:hanging="1440"/>
    </w:pPr>
    <w:rPr>
      <w:rFonts w:ascii="Arial" w:hAnsi="Arial" w:eastAsia="黑体"/>
      <w:sz w:val="24"/>
      <w:szCs w:val="20"/>
    </w:rPr>
  </w:style>
  <w:style w:type="paragraph" w:customStyle="1" w:styleId="22">
    <w:name w:val="Heading9"/>
    <w:basedOn w:val="1"/>
    <w:next w:val="15"/>
    <w:qFormat/>
    <w:uiPriority w:val="0"/>
    <w:pPr>
      <w:keepNext/>
      <w:keepLines/>
      <w:tabs>
        <w:tab w:val="left" w:pos="1584"/>
      </w:tabs>
      <w:spacing w:before="240" w:after="64" w:line="319" w:lineRule="auto"/>
      <w:ind w:left="1584" w:hanging="1584"/>
    </w:pPr>
    <w:rPr>
      <w:rFonts w:ascii="Arial" w:hAnsi="Arial" w:eastAsia="黑体"/>
      <w:sz w:val="28"/>
      <w:szCs w:val="20"/>
    </w:rPr>
  </w:style>
  <w:style w:type="paragraph" w:customStyle="1" w:styleId="23">
    <w:name w:val="BodyTextIndent2"/>
    <w:basedOn w:val="1"/>
    <w:qFormat/>
    <w:uiPriority w:val="0"/>
    <w:pPr>
      <w:ind w:firstLine="200" w:firstLineChars="200"/>
    </w:pPr>
    <w:rPr>
      <w:sz w:val="30"/>
    </w:rPr>
  </w:style>
  <w:style w:type="paragraph" w:customStyle="1" w:styleId="24">
    <w:name w:val="BodyTextIndent"/>
    <w:basedOn w:val="1"/>
    <w:qFormat/>
    <w:uiPriority w:val="0"/>
    <w:pPr>
      <w:ind w:firstLine="200" w:firstLineChars="200"/>
    </w:pPr>
    <w:rPr>
      <w:sz w:val="28"/>
    </w:rPr>
  </w:style>
  <w:style w:type="paragraph" w:customStyle="1" w:styleId="25">
    <w:name w:val="Acetate"/>
    <w:basedOn w:val="1"/>
    <w:qFormat/>
    <w:uiPriority w:val="0"/>
    <w:rPr>
      <w:sz w:val="18"/>
      <w:szCs w:val="18"/>
    </w:rPr>
  </w:style>
  <w:style w:type="paragraph" w:customStyle="1" w:styleId="26">
    <w:name w:val="BodyText"/>
    <w:basedOn w:val="1"/>
    <w:qFormat/>
    <w:uiPriority w:val="0"/>
    <w:pPr>
      <w:spacing w:after="120"/>
    </w:pPr>
    <w:rPr>
      <w:sz w:val="32"/>
      <w:szCs w:val="20"/>
    </w:rPr>
  </w:style>
  <w:style w:type="paragraph" w:customStyle="1" w:styleId="2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8">
    <w:name w:val="TOC1"/>
    <w:basedOn w:val="1"/>
    <w:next w:val="1"/>
    <w:qFormat/>
    <w:uiPriority w:val="0"/>
    <w:pPr>
      <w:spacing w:before="360"/>
      <w:jc w:val="left"/>
    </w:pPr>
    <w:rPr>
      <w:rFonts w:ascii="Arial" w:hAnsi="Arial" w:cs="Arial"/>
      <w:b/>
      <w:bCs/>
      <w:caps/>
      <w:sz w:val="24"/>
    </w:rPr>
  </w:style>
  <w:style w:type="paragraph" w:customStyle="1" w:styleId="2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NavPane"/>
    <w:basedOn w:val="1"/>
    <w:qFormat/>
    <w:uiPriority w:val="0"/>
    <w:pPr>
      <w:shd w:val="clear" w:color="auto" w:fill="000080"/>
    </w:pPr>
  </w:style>
  <w:style w:type="paragraph" w:customStyle="1" w:styleId="3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2">
    <w:name w:val="UserStyle_5"/>
    <w:basedOn w:val="30"/>
    <w:qFormat/>
    <w:uiPriority w:val="0"/>
    <w:rPr>
      <w:rFonts w:ascii="Tahoma" w:hAnsi="Tahoma"/>
      <w:sz w:val="24"/>
    </w:rPr>
  </w:style>
  <w:style w:type="paragraph" w:customStyle="1" w:styleId="33">
    <w:name w:val="UserStyle_6"/>
    <w:basedOn w:val="30"/>
    <w:qFormat/>
    <w:uiPriority w:val="0"/>
    <w:rPr>
      <w:rFonts w:ascii="Tahoma" w:hAnsi="Tahoma"/>
      <w:sz w:val="24"/>
    </w:rPr>
  </w:style>
  <w:style w:type="paragraph" w:customStyle="1" w:styleId="34">
    <w:name w:val="UserStyle_7"/>
    <w:basedOn w:val="30"/>
    <w:qFormat/>
    <w:uiPriority w:val="0"/>
    <w:rPr>
      <w:rFonts w:ascii="Tahoma" w:hAnsi="Tahoma"/>
      <w:sz w:val="24"/>
    </w:rPr>
  </w:style>
  <w:style w:type="paragraph" w:customStyle="1" w:styleId="35">
    <w:name w:val="UserStyle_8"/>
    <w:basedOn w:val="30"/>
    <w:qFormat/>
    <w:uiPriority w:val="0"/>
    <w:rPr>
      <w:rFonts w:ascii="Tahoma" w:hAnsi="Tahoma"/>
      <w:sz w:val="24"/>
    </w:rPr>
  </w:style>
  <w:style w:type="paragraph" w:customStyle="1" w:styleId="36">
    <w:name w:val="179"/>
    <w:basedOn w:val="1"/>
    <w:qFormat/>
    <w:uiPriority w:val="0"/>
    <w:pPr>
      <w:ind w:firstLine="420" w:firstLineChars="200"/>
    </w:pPr>
  </w:style>
  <w:style w:type="paragraph" w:customStyle="1" w:styleId="37">
    <w:name w:val="UserStyle_9"/>
    <w:basedOn w:val="30"/>
    <w:qFormat/>
    <w:uiPriority w:val="0"/>
    <w:rPr>
      <w:rFonts w:ascii="Tahoma" w:hAnsi="Tahoma"/>
      <w:sz w:val="24"/>
    </w:rPr>
  </w:style>
  <w:style w:type="paragraph" w:customStyle="1" w:styleId="38">
    <w:name w:val="UserStyle_10"/>
    <w:basedOn w:val="1"/>
    <w:qFormat/>
    <w:uiPriority w:val="0"/>
  </w:style>
  <w:style w:type="paragraph" w:customStyle="1" w:styleId="39">
    <w:name w:val="UserStyle_11"/>
    <w:basedOn w:val="30"/>
    <w:qFormat/>
    <w:uiPriority w:val="0"/>
    <w:rPr>
      <w:rFonts w:ascii="Tahoma" w:hAnsi="Tahoma"/>
      <w:sz w:val="24"/>
    </w:rPr>
  </w:style>
  <w:style w:type="paragraph" w:customStyle="1" w:styleId="40">
    <w:name w:val="UserStyle_12"/>
    <w:basedOn w:val="30"/>
    <w:qFormat/>
    <w:uiPriority w:val="0"/>
    <w:rPr>
      <w:rFonts w:ascii="Tahoma" w:hAnsi="Tahoma"/>
      <w:sz w:val="24"/>
    </w:rPr>
  </w:style>
  <w:style w:type="paragraph" w:customStyle="1" w:styleId="41">
    <w:name w:val="UserStyle_13"/>
    <w:basedOn w:val="30"/>
    <w:qFormat/>
    <w:uiPriority w:val="0"/>
    <w:rPr>
      <w:rFonts w:ascii="Tahoma" w:hAnsi="Tahoma"/>
      <w:sz w:val="24"/>
    </w:rPr>
  </w:style>
  <w:style w:type="paragraph" w:customStyle="1" w:styleId="42">
    <w:name w:val="UserStyle_14"/>
    <w:basedOn w:val="30"/>
    <w:qFormat/>
    <w:uiPriority w:val="0"/>
    <w:rPr>
      <w:rFonts w:ascii="Tahoma" w:hAnsi="Tahoma"/>
      <w:sz w:val="24"/>
    </w:rPr>
  </w:style>
  <w:style w:type="character" w:customStyle="1" w:styleId="43">
    <w:name w:val="NormalCharacter"/>
    <w:qFormat/>
    <w:uiPriority w:val="0"/>
  </w:style>
  <w:style w:type="character" w:customStyle="1" w:styleId="44">
    <w:name w:val="UserStyle_0"/>
    <w:qFormat/>
    <w:uiPriority w:val="0"/>
    <w:rPr>
      <w:rFonts w:ascii="Times New Roman" w:hAnsi="Times New Roman"/>
      <w:color w:val="000000"/>
      <w:sz w:val="24"/>
      <w:szCs w:val="24"/>
    </w:rPr>
  </w:style>
  <w:style w:type="character" w:customStyle="1" w:styleId="45">
    <w:name w:val="UserStyle_2"/>
    <w:qFormat/>
    <w:uiPriority w:val="0"/>
    <w:rPr>
      <w:rFonts w:ascii="Times New Roman" w:hAnsi="Times New Roman"/>
      <w:color w:val="000000"/>
      <w:sz w:val="24"/>
      <w:szCs w:val="24"/>
    </w:rPr>
  </w:style>
  <w:style w:type="character" w:customStyle="1" w:styleId="46">
    <w:name w:val="UserStyle_3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47">
    <w:name w:val="UserStyle_4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48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1472</Words>
  <Characters>2286</Characters>
  <Lines>15</Lines>
  <Paragraphs>4</Paragraphs>
  <TotalTime>0</TotalTime>
  <ScaleCrop>false</ScaleCrop>
  <LinksUpToDate>false</LinksUpToDate>
  <CharactersWithSpaces>2332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2022-08-16T08:00:00Z</dcterms:created>
  <dc:creator>桂平砖头文</dc:creator>
  <cp:lastModifiedBy>莫心烦</cp:lastModifiedBy>
  <cp:lastPrinted>2024-06-04T01:05:00Z</cp:lastPrinted>
  <dcterms:modified xsi:type="dcterms:W3CDTF">2025-09-08T02:27:55Z</dcterms:modified>
  <dc:title>表1  医院使用的射线装置情况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34DA79A3117A40DBA6651036D4A90BDB_13</vt:lpwstr>
  </property>
  <property fmtid="{D5CDD505-2E9C-101B-9397-08002B2CF9AE}" pid="4" name="KSOTemplateDocerSaveRecord">
    <vt:lpwstr>eyJoZGlkIjoiOTc0YWRkMmVjMzZlYWFjNDAxM2E4YjI4ZjU2Yzk3ZGIiLCJ1c2VySWQiOiI0NDg1MDY2MTUifQ==</vt:lpwstr>
  </property>
</Properties>
</file>