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6C7A3">
      <w:pPr>
        <w:jc w:val="center"/>
        <w:rPr>
          <w:rFonts w:hint="eastAsia" w:ascii="宋体" w:hAnsi="宋体" w:eastAsia="宋体" w:cs="宋体"/>
          <w:b/>
          <w:bCs/>
          <w:sz w:val="40"/>
          <w:szCs w:val="48"/>
          <w:lang w:val="en-US" w:eastAsia="zh-CN"/>
        </w:rPr>
      </w:pPr>
      <w:r>
        <w:rPr>
          <w:rFonts w:hint="eastAsia" w:ascii="宋体" w:hAnsi="宋体" w:eastAsia="宋体" w:cs="宋体"/>
          <w:b/>
          <w:bCs/>
          <w:sz w:val="40"/>
          <w:szCs w:val="48"/>
        </w:rPr>
        <w:t>电子支气管内窥镜</w:t>
      </w:r>
      <w:r>
        <w:rPr>
          <w:rFonts w:hint="eastAsia" w:ascii="宋体" w:hAnsi="宋体" w:eastAsia="宋体" w:cs="宋体"/>
          <w:b/>
          <w:bCs/>
          <w:sz w:val="40"/>
          <w:szCs w:val="48"/>
          <w:lang w:val="en-US" w:eastAsia="zh-CN"/>
        </w:rPr>
        <w:t>技术参数</w:t>
      </w:r>
    </w:p>
    <w:p w14:paraId="6F1DD78D">
      <w:pPr>
        <w:numPr>
          <w:ilvl w:val="0"/>
          <w:numId w:val="0"/>
        </w:numPr>
        <w:spacing w:line="360" w:lineRule="auto"/>
        <w:rPr>
          <w:rFonts w:hint="eastAsia" w:ascii="宋体" w:hAnsi="宋体" w:eastAsia="宋体" w:cs="宋体"/>
          <w:lang w:val="en-US" w:eastAsia="zh-CN"/>
        </w:rPr>
      </w:pPr>
      <w:r>
        <w:rPr>
          <w:rFonts w:hint="eastAsia" w:ascii="宋体" w:hAnsi="宋体" w:eastAsia="宋体" w:cs="宋体"/>
          <w:kern w:val="2"/>
          <w:sz w:val="21"/>
          <w:szCs w:val="24"/>
          <w:lang w:val="en-US" w:eastAsia="zh-CN" w:bidi="ar-SA"/>
        </w:rPr>
        <w:t>1.</w:t>
      </w:r>
      <w:r>
        <w:rPr>
          <w:rFonts w:hint="eastAsia" w:ascii="宋体" w:hAnsi="宋体" w:eastAsia="宋体" w:cs="宋体"/>
          <w:lang w:val="en-US" w:eastAsia="zh-CN"/>
        </w:rPr>
        <w:t>操作手柄（含插入管）：</w:t>
      </w:r>
    </w:p>
    <w:p w14:paraId="30FFE688">
      <w:pPr>
        <w:spacing w:line="360" w:lineRule="auto"/>
        <w:rPr>
          <w:rFonts w:hint="eastAsia" w:ascii="宋体" w:hAnsi="宋体" w:eastAsia="宋体" w:cs="宋体"/>
          <w:lang w:val="en-US" w:eastAsia="zh-CN"/>
        </w:rPr>
      </w:pPr>
      <w:r>
        <w:rPr>
          <w:rFonts w:hint="eastAsia" w:ascii="宋体" w:hAnsi="宋体" w:eastAsia="宋体" w:cs="宋体"/>
          <w:lang w:val="en-US" w:eastAsia="zh-CN"/>
        </w:rPr>
        <w:t>1.1适用范围：适用于气管、支气管及肺的观察、诊断、摄影或辅助治疗。</w:t>
      </w:r>
    </w:p>
    <w:p w14:paraId="3A82CECD">
      <w:pPr>
        <w:spacing w:line="360" w:lineRule="auto"/>
        <w:rPr>
          <w:rFonts w:hint="eastAsia" w:ascii="宋体" w:hAnsi="宋体" w:eastAsia="宋体" w:cs="宋体"/>
          <w:lang w:eastAsia="zh-CN"/>
        </w:rPr>
      </w:pPr>
      <w:r>
        <w:rPr>
          <w:rFonts w:hint="eastAsia" w:ascii="宋体" w:hAnsi="宋体" w:eastAsia="宋体" w:cs="宋体"/>
          <w:lang w:val="en-US" w:eastAsia="zh-CN"/>
        </w:rPr>
        <w:t>1.2成像原理：电子成像技术，工作软管不含导像、导光纤维</w:t>
      </w:r>
      <w:r>
        <w:rPr>
          <w:rFonts w:hint="eastAsia" w:ascii="宋体" w:hAnsi="宋体" w:eastAsia="宋体" w:cs="宋体"/>
          <w:lang w:eastAsia="zh-CN"/>
        </w:rPr>
        <w:t>。</w:t>
      </w:r>
    </w:p>
    <w:p w14:paraId="7BBF26A6">
      <w:pPr>
        <w:spacing w:line="360" w:lineRule="auto"/>
        <w:rPr>
          <w:rFonts w:hint="eastAsia" w:ascii="宋体" w:hAnsi="宋体" w:eastAsia="宋体" w:cs="宋体"/>
          <w:lang w:val="en-US" w:eastAsia="zh-CN"/>
        </w:rPr>
      </w:pPr>
      <w:r>
        <w:rPr>
          <w:rFonts w:hint="eastAsia" w:ascii="宋体" w:hAnsi="宋体" w:eastAsia="宋体" w:cs="宋体"/>
          <w:lang w:val="en-US" w:eastAsia="zh-CN"/>
        </w:rPr>
        <w:t>1.3 软镜插入管外径≤2.8mm，工作管道内径≥1.2mm。</w:t>
      </w:r>
    </w:p>
    <w:p w14:paraId="6025BE40">
      <w:pPr>
        <w:spacing w:line="360" w:lineRule="auto"/>
        <w:rPr>
          <w:rFonts w:hint="eastAsia" w:ascii="宋体" w:hAnsi="宋体" w:eastAsia="宋体" w:cs="宋体"/>
          <w:lang w:val="en-US" w:eastAsia="zh-CN"/>
        </w:rPr>
      </w:pPr>
      <w:r>
        <w:rPr>
          <w:rFonts w:hint="eastAsia" w:ascii="宋体" w:hAnsi="宋体" w:eastAsia="宋体" w:cs="宋体"/>
          <w:lang w:val="en-US" w:eastAsia="zh-CN"/>
        </w:rPr>
        <w:t>1.4插入部有效长度≥610mm,</w:t>
      </w:r>
      <w:r>
        <w:rPr>
          <w:rFonts w:hint="eastAsia" w:ascii="宋体" w:hAnsi="宋体" w:eastAsia="宋体" w:cs="宋体"/>
          <w:highlight w:val="none"/>
          <w:lang w:val="en-US" w:eastAsia="zh-CN"/>
        </w:rPr>
        <w:t>自带有360°刻度标识，有利于操作者辨别诊治时的插入长度。</w:t>
      </w:r>
    </w:p>
    <w:p w14:paraId="56298F1A">
      <w:pPr>
        <w:spacing w:line="360" w:lineRule="auto"/>
        <w:rPr>
          <w:rFonts w:hint="eastAsia" w:ascii="宋体" w:hAnsi="宋体" w:eastAsia="宋体" w:cs="宋体"/>
        </w:rPr>
      </w:pPr>
      <w:r>
        <w:rPr>
          <w:rFonts w:hint="eastAsia" w:ascii="宋体" w:hAnsi="宋体" w:eastAsia="宋体" w:cs="宋体"/>
          <w:lang w:val="en-US" w:eastAsia="zh-CN"/>
        </w:rPr>
        <w:t>1.5 视场角≥120°</w:t>
      </w:r>
      <w:r>
        <w:rPr>
          <w:rFonts w:hint="eastAsia" w:ascii="宋体" w:hAnsi="宋体" w:eastAsia="宋体" w:cs="宋体"/>
          <w:lang w:eastAsia="zh-CN"/>
        </w:rPr>
        <w:t>。</w:t>
      </w:r>
    </w:p>
    <w:p w14:paraId="3576A871">
      <w:pPr>
        <w:spacing w:line="360" w:lineRule="auto"/>
        <w:rPr>
          <w:rFonts w:hint="eastAsia" w:ascii="宋体" w:hAnsi="宋体" w:eastAsia="宋体" w:cs="宋体"/>
          <w:lang w:eastAsia="zh-CN"/>
        </w:rPr>
      </w:pPr>
      <w:r>
        <w:rPr>
          <w:rFonts w:hint="eastAsia" w:ascii="宋体" w:hAnsi="宋体" w:eastAsia="宋体" w:cs="宋体"/>
          <w:lang w:val="en-US" w:eastAsia="zh-CN"/>
        </w:rPr>
        <w:t>1.6景深：3-</w:t>
      </w:r>
      <w:r>
        <w:rPr>
          <w:rFonts w:hint="eastAsia" w:ascii="宋体" w:hAnsi="宋体" w:eastAsia="宋体" w:cs="宋体"/>
          <w:lang w:eastAsia="zh-CN"/>
        </w:rPr>
        <w:t>1</w:t>
      </w:r>
      <w:r>
        <w:rPr>
          <w:rFonts w:hint="eastAsia" w:ascii="宋体" w:hAnsi="宋体" w:eastAsia="宋体" w:cs="宋体"/>
          <w:lang w:val="en-US" w:eastAsia="zh-CN"/>
        </w:rPr>
        <w:t>00mm</w:t>
      </w:r>
      <w:r>
        <w:rPr>
          <w:rFonts w:hint="eastAsia" w:ascii="宋体" w:hAnsi="宋体" w:eastAsia="宋体" w:cs="宋体"/>
          <w:lang w:eastAsia="zh-CN"/>
        </w:rPr>
        <w:t>。</w:t>
      </w:r>
    </w:p>
    <w:p w14:paraId="1DB17085">
      <w:pPr>
        <w:spacing w:line="360" w:lineRule="auto"/>
        <w:rPr>
          <w:rFonts w:hint="eastAsia" w:ascii="宋体" w:hAnsi="宋体" w:eastAsia="宋体" w:cs="宋体"/>
          <w:lang w:val="en-US" w:eastAsia="zh-CN"/>
        </w:rPr>
      </w:pPr>
      <w:r>
        <w:rPr>
          <w:rFonts w:hint="eastAsia" w:ascii="宋体" w:hAnsi="宋体" w:eastAsia="宋体" w:cs="宋体"/>
          <w:lang w:val="en-US" w:eastAsia="zh-CN"/>
        </w:rPr>
        <w:t>1.7 插入管软管前端弯曲角度：向上弯曲210°，向下弯曲130°，双向弯曲340°，配合前端更小弯曲半径，精准诊疗。</w:t>
      </w:r>
    </w:p>
    <w:p w14:paraId="03C2A089">
      <w:pPr>
        <w:spacing w:line="360" w:lineRule="auto"/>
        <w:rPr>
          <w:rFonts w:hint="eastAsia" w:ascii="宋体" w:hAnsi="宋体" w:eastAsia="宋体" w:cs="宋体"/>
          <w:lang w:val="en-US" w:eastAsia="zh-CN"/>
        </w:rPr>
      </w:pPr>
      <w:r>
        <w:rPr>
          <w:rFonts w:hint="eastAsia" w:ascii="宋体" w:hAnsi="宋体" w:eastAsia="宋体" w:cs="宋体"/>
          <w:lang w:val="en-US" w:eastAsia="zh-CN"/>
        </w:rPr>
        <w:t>1.8 弯角手轮上应有操作方向U、D标记，角度把手调节至D处时，弯曲部向下弯曲，角度把手调节至U处时，弯曲部向上弯曲。</w:t>
      </w:r>
    </w:p>
    <w:p w14:paraId="4B08A7CE">
      <w:pPr>
        <w:spacing w:line="360" w:lineRule="auto"/>
        <w:rPr>
          <w:rFonts w:hint="eastAsia" w:ascii="宋体" w:hAnsi="宋体" w:eastAsia="宋体" w:cs="宋体"/>
          <w:lang w:val="en-US" w:eastAsia="zh-CN"/>
        </w:rPr>
      </w:pPr>
      <w:r>
        <w:rPr>
          <w:rFonts w:hint="eastAsia" w:ascii="宋体" w:hAnsi="宋体" w:eastAsia="宋体" w:cs="宋体"/>
          <w:lang w:val="en-US" w:eastAsia="zh-CN"/>
        </w:rPr>
        <w:t>1.9 操作手柄具备左右旋转关节和转轴定位点，可带动插入软管部先端左右旋转，向左120°，向右120°。</w:t>
      </w:r>
    </w:p>
    <w:p w14:paraId="3894B5D4">
      <w:pPr>
        <w:spacing w:line="360" w:lineRule="auto"/>
        <w:rPr>
          <w:rFonts w:hint="eastAsia" w:ascii="宋体" w:hAnsi="宋体" w:eastAsia="宋体" w:cs="宋体"/>
          <w:lang w:val="en-US" w:eastAsia="zh-CN"/>
        </w:rPr>
      </w:pPr>
      <w:r>
        <w:rPr>
          <w:rFonts w:hint="eastAsia" w:ascii="宋体" w:hAnsi="宋体" w:eastAsia="宋体" w:cs="宋体"/>
          <w:lang w:val="en-US" w:eastAsia="zh-CN"/>
        </w:rPr>
        <w:t>1.10 插入管具有被动弯曲功能，可以保证插入管顺畅插入进行诊治，减少粘膜损伤。</w:t>
      </w:r>
    </w:p>
    <w:p w14:paraId="59A988CE">
      <w:pPr>
        <w:spacing w:line="360" w:lineRule="auto"/>
        <w:rPr>
          <w:rFonts w:hint="eastAsia" w:ascii="宋体" w:hAnsi="宋体" w:eastAsia="宋体" w:cs="宋体"/>
          <w:lang w:val="en-US" w:eastAsia="zh-CN"/>
        </w:rPr>
      </w:pPr>
      <w:r>
        <w:rPr>
          <w:rFonts w:hint="eastAsia" w:ascii="宋体" w:hAnsi="宋体" w:eastAsia="宋体" w:cs="宋体"/>
          <w:lang w:val="en-US" w:eastAsia="zh-CN"/>
        </w:rPr>
        <w:t>1.11 吸引阀座一体式防脱设计，解决吸引按钮易脱落的临床风险，且无需专用耗材。</w:t>
      </w:r>
    </w:p>
    <w:p w14:paraId="40096D71">
      <w:pPr>
        <w:spacing w:line="360" w:lineRule="auto"/>
        <w:rPr>
          <w:rFonts w:hint="eastAsia" w:ascii="宋体" w:hAnsi="宋体" w:eastAsia="宋体" w:cs="宋体"/>
          <w:lang w:val="en-US" w:eastAsia="zh-CN"/>
        </w:rPr>
      </w:pPr>
      <w:r>
        <w:rPr>
          <w:rFonts w:hint="eastAsia" w:ascii="宋体" w:hAnsi="宋体" w:eastAsia="宋体" w:cs="宋体"/>
          <w:lang w:val="en-US" w:eastAsia="zh-CN"/>
        </w:rPr>
        <w:t>1.12 连接方式：视频转接线与操作手柄无需连接安装，一体式设计，转接线可耐受浸泡消毒。</w:t>
      </w:r>
    </w:p>
    <w:p w14:paraId="681A8C07">
      <w:pPr>
        <w:spacing w:line="360" w:lineRule="auto"/>
        <w:rPr>
          <w:rFonts w:hint="eastAsia" w:ascii="宋体" w:hAnsi="宋体" w:eastAsia="宋体" w:cs="宋体"/>
          <w:lang w:val="en-US" w:eastAsia="zh-CN"/>
        </w:rPr>
      </w:pPr>
      <w:r>
        <w:rPr>
          <w:rFonts w:hint="eastAsia" w:ascii="宋体" w:hAnsi="宋体" w:eastAsia="宋体" w:cs="宋体"/>
          <w:lang w:val="en-US" w:eastAsia="zh-CN"/>
        </w:rPr>
        <w:t>1.13操作手柄具有3个具备独立电子功能的按键。</w:t>
      </w:r>
    </w:p>
    <w:p w14:paraId="04BEE174">
      <w:pPr>
        <w:spacing w:line="360" w:lineRule="auto"/>
        <w:rPr>
          <w:rFonts w:hint="eastAsia" w:ascii="宋体" w:hAnsi="宋体" w:eastAsia="宋体" w:cs="宋体"/>
          <w:lang w:val="en-US" w:eastAsia="zh-CN"/>
        </w:rPr>
      </w:pPr>
      <w:r>
        <w:rPr>
          <w:rFonts w:hint="eastAsia" w:ascii="宋体" w:hAnsi="宋体" w:eastAsia="宋体" w:cs="宋体"/>
          <w:lang w:val="en-US" w:eastAsia="zh-CN"/>
        </w:rPr>
        <w:t>1.13.1 操作手柄上按键可控制大小屏切换功能；</w:t>
      </w:r>
    </w:p>
    <w:p w14:paraId="4ED7F06D">
      <w:pPr>
        <w:spacing w:line="360" w:lineRule="auto"/>
        <w:rPr>
          <w:rFonts w:hint="eastAsia" w:ascii="宋体" w:hAnsi="宋体" w:eastAsia="宋体" w:cs="宋体"/>
          <w:lang w:val="en-US" w:eastAsia="zh-CN"/>
        </w:rPr>
      </w:pPr>
      <w:r>
        <w:rPr>
          <w:rFonts w:hint="eastAsia" w:ascii="宋体" w:hAnsi="宋体" w:eastAsia="宋体" w:cs="宋体"/>
          <w:lang w:val="en-US" w:eastAsia="zh-CN"/>
        </w:rPr>
        <w:t>1.13.2 操作手柄上按键可控制拍照录像功能，可在图像冻结或录像的同时进行拍照；</w:t>
      </w:r>
    </w:p>
    <w:p w14:paraId="7CD3DB29">
      <w:pPr>
        <w:spacing w:line="360" w:lineRule="auto"/>
        <w:rPr>
          <w:rFonts w:hint="eastAsia" w:ascii="宋体" w:hAnsi="宋体" w:eastAsia="宋体" w:cs="宋体"/>
          <w:lang w:val="en-US" w:eastAsia="zh-CN"/>
        </w:rPr>
      </w:pPr>
      <w:r>
        <w:rPr>
          <w:rFonts w:hint="eastAsia" w:ascii="宋体" w:hAnsi="宋体" w:eastAsia="宋体" w:cs="宋体"/>
          <w:lang w:val="en-US" w:eastAsia="zh-CN"/>
        </w:rPr>
        <w:t>1.13.3 操作手柄上按键可控制图像冻结和解冻功能，提升病灶部位诊断精确度。</w:t>
      </w:r>
    </w:p>
    <w:p w14:paraId="27EA1F56">
      <w:pPr>
        <w:spacing w:line="360" w:lineRule="auto"/>
        <w:rPr>
          <w:rFonts w:hint="eastAsia" w:ascii="宋体" w:hAnsi="宋体" w:eastAsia="宋体" w:cs="宋体"/>
          <w:lang w:val="en-US" w:eastAsia="zh-CN"/>
        </w:rPr>
      </w:pPr>
      <w:r>
        <w:rPr>
          <w:rFonts w:hint="eastAsia" w:ascii="宋体" w:hAnsi="宋体" w:eastAsia="宋体" w:cs="宋体"/>
          <w:lang w:val="en-US" w:eastAsia="zh-CN"/>
        </w:rPr>
        <w:t>1.14 照度：≥3000lx。</w:t>
      </w:r>
    </w:p>
    <w:p w14:paraId="4917C1E9">
      <w:pPr>
        <w:spacing w:line="360" w:lineRule="auto"/>
        <w:rPr>
          <w:rFonts w:hint="eastAsia" w:ascii="宋体" w:hAnsi="宋体" w:eastAsia="宋体" w:cs="宋体"/>
          <w:lang w:val="en-US" w:eastAsia="zh-CN"/>
        </w:rPr>
      </w:pPr>
      <w:r>
        <w:rPr>
          <w:rFonts w:hint="eastAsia" w:ascii="宋体" w:hAnsi="宋体" w:eastAsia="宋体" w:cs="宋体"/>
          <w:lang w:val="en-US" w:eastAsia="zh-CN"/>
        </w:rPr>
        <w:t>1.15 照明光源和观察视场的重合性：在工作距离处照明光斑应充满视场，无明显的亮暗分界线。</w:t>
      </w:r>
    </w:p>
    <w:p w14:paraId="101061DD">
      <w:pPr>
        <w:spacing w:line="360" w:lineRule="auto"/>
        <w:rPr>
          <w:rFonts w:hint="eastAsia" w:ascii="宋体" w:hAnsi="宋体" w:eastAsia="宋体" w:cs="宋体"/>
          <w:lang w:val="en-US" w:eastAsia="zh-CN"/>
        </w:rPr>
      </w:pPr>
      <w:r>
        <w:rPr>
          <w:rFonts w:hint="eastAsia" w:ascii="宋体" w:hAnsi="宋体" w:eastAsia="宋体" w:cs="宋体"/>
          <w:lang w:val="en-US" w:eastAsia="zh-CN"/>
        </w:rPr>
        <w:t>1.16 内置LED冷光源，内镜镜头具备防雾功能，无需预热即可观察。</w:t>
      </w:r>
    </w:p>
    <w:p w14:paraId="7084CE46">
      <w:pPr>
        <w:spacing w:line="360" w:lineRule="auto"/>
        <w:rPr>
          <w:rFonts w:hint="eastAsia" w:ascii="宋体" w:hAnsi="宋体" w:eastAsia="宋体" w:cs="宋体"/>
          <w:lang w:val="en-US" w:eastAsia="zh-CN"/>
        </w:rPr>
      </w:pPr>
      <w:r>
        <w:rPr>
          <w:rFonts w:hint="eastAsia" w:ascii="宋体" w:hAnsi="宋体" w:eastAsia="宋体" w:cs="宋体"/>
          <w:lang w:val="en-US" w:eastAsia="zh-CN"/>
        </w:rPr>
        <w:t>1.17 通道吸引量：≥100 ml/min。</w:t>
      </w:r>
    </w:p>
    <w:p w14:paraId="00F1CFFD">
      <w:pPr>
        <w:spacing w:line="360" w:lineRule="auto"/>
        <w:rPr>
          <w:rFonts w:hint="eastAsia" w:ascii="宋体" w:hAnsi="宋体" w:eastAsia="宋体" w:cs="宋体"/>
          <w:lang w:val="en-US" w:eastAsia="zh-CN"/>
        </w:rPr>
      </w:pPr>
      <w:r>
        <w:rPr>
          <w:rFonts w:hint="eastAsia" w:ascii="宋体" w:hAnsi="宋体" w:eastAsia="宋体" w:cs="宋体"/>
          <w:lang w:val="en-US" w:eastAsia="zh-CN"/>
        </w:rPr>
        <w:t>1.18 操作部防水等级：IPX7。配备防水盖，可进行全浸泡消毒。</w:t>
      </w:r>
    </w:p>
    <w:p w14:paraId="7E9BBD44">
      <w:pPr>
        <w:spacing w:line="360" w:lineRule="auto"/>
        <w:rPr>
          <w:rFonts w:hint="eastAsia" w:ascii="宋体" w:hAnsi="宋体" w:eastAsia="宋体" w:cs="宋体"/>
          <w:lang w:val="en-US" w:eastAsia="zh-CN"/>
        </w:rPr>
      </w:pPr>
      <w:r>
        <w:rPr>
          <w:rFonts w:hint="eastAsia" w:ascii="宋体" w:hAnsi="宋体" w:eastAsia="宋体" w:cs="宋体"/>
          <w:lang w:val="en-US" w:eastAsia="zh-CN"/>
        </w:rPr>
        <w:t>1.19 消毒灭菌无需ETO帽、NT阀，无需更换配件。</w:t>
      </w:r>
    </w:p>
    <w:p w14:paraId="59457627">
      <w:pPr>
        <w:pStyle w:val="2"/>
        <w:spacing w:before="0" w:beforeAutospacing="0" w:after="0" w:afterAutospacing="0" w:line="440" w:lineRule="exact"/>
        <w:jc w:val="both"/>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1.20插入管能通过3.5号及以上气管导管。</w:t>
      </w:r>
    </w:p>
    <w:p w14:paraId="70B8E367">
      <w:pPr>
        <w:spacing w:line="360" w:lineRule="auto"/>
        <w:rPr>
          <w:rFonts w:hint="eastAsia" w:ascii="宋体" w:hAnsi="宋体" w:eastAsia="宋体" w:cs="宋体"/>
          <w:highlight w:val="none"/>
          <w:lang w:val="en-US" w:eastAsia="zh-CN"/>
        </w:rPr>
      </w:pPr>
    </w:p>
    <w:p w14:paraId="1A0B4BAC">
      <w:pPr>
        <w:pStyle w:val="3"/>
        <w:keepNext w:val="0"/>
        <w:keepLines w:val="0"/>
        <w:widowControl/>
        <w:numPr>
          <w:ilvl w:val="0"/>
          <w:numId w:val="0"/>
        </w:numPr>
        <w:suppressLineNumbers w:val="0"/>
        <w:spacing w:before="0" w:beforeAutospacing="0" w:after="0" w:afterAutospacing="0" w:line="420" w:lineRule="atLeast"/>
        <w:ind w:left="0" w:leftChars="0" w:right="0" w:rightChars="0" w:firstLine="0" w:firstLineChars="0"/>
        <w:jc w:val="both"/>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2.产品维护服务：软件终身免费升级。</w:t>
      </w:r>
    </w:p>
    <w:p w14:paraId="3174D1FD">
      <w:pPr>
        <w:pStyle w:val="3"/>
        <w:keepNext w:val="0"/>
        <w:keepLines w:val="0"/>
        <w:widowControl/>
        <w:numPr>
          <w:ilvl w:val="0"/>
          <w:numId w:val="0"/>
        </w:numPr>
        <w:suppressLineNumbers w:val="0"/>
        <w:spacing w:before="0" w:beforeAutospacing="0" w:after="0" w:afterAutospacing="0" w:line="420" w:lineRule="atLeast"/>
        <w:ind w:leftChars="0" w:right="0" w:rightChars="0"/>
        <w:jc w:val="both"/>
        <w:rPr>
          <w:rFonts w:hint="eastAsia" w:ascii="宋体" w:hAnsi="宋体" w:eastAsia="宋体" w:cs="宋体"/>
          <w:color w:val="auto"/>
          <w:kern w:val="0"/>
          <w:sz w:val="21"/>
          <w:szCs w:val="21"/>
          <w:lang w:val="en-US" w:eastAsia="zh-CN" w:bidi="ar"/>
        </w:rPr>
      </w:pPr>
    </w:p>
    <w:p w14:paraId="352B68C2">
      <w:pPr>
        <w:spacing w:line="360" w:lineRule="auto"/>
        <w:rPr>
          <w:rFonts w:hint="eastAsia" w:ascii="宋体" w:hAnsi="宋体" w:eastAsia="宋体" w:cs="宋体"/>
          <w:sz w:val="21"/>
          <w:szCs w:val="21"/>
        </w:rPr>
      </w:pP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.培训服务：</w:t>
      </w:r>
    </w:p>
    <w:p w14:paraId="7E74D36D">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3.1 </w:t>
      </w:r>
      <w:r>
        <w:rPr>
          <w:rFonts w:hint="eastAsia" w:ascii="宋体" w:hAnsi="宋体" w:eastAsia="宋体" w:cs="宋体"/>
          <w:sz w:val="21"/>
          <w:szCs w:val="21"/>
          <w:lang w:eastAsia="zh-CN"/>
        </w:rPr>
        <w:t>提供专业的人员上门培训，保证操作者能掌握产品操作技能。</w:t>
      </w:r>
    </w:p>
    <w:p w14:paraId="73203900">
      <w:pPr>
        <w:spacing w:line="36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 xml:space="preserve">3.2 </w:t>
      </w:r>
      <w:r>
        <w:rPr>
          <w:rFonts w:hint="eastAsia" w:ascii="宋体" w:hAnsi="宋体" w:eastAsia="宋体" w:cs="宋体"/>
          <w:sz w:val="21"/>
          <w:szCs w:val="21"/>
          <w:lang w:eastAsia="zh-CN"/>
        </w:rPr>
        <w:t>拥有完善的系统培训方案，可提供针对性的培训课程及相关学习资料。</w:t>
      </w:r>
    </w:p>
    <w:p w14:paraId="78FD09F0">
      <w:pPr>
        <w:spacing w:line="360" w:lineRule="auto"/>
        <w:rPr>
          <w:rFonts w:hint="eastAsia" w:ascii="宋体" w:hAnsi="宋体" w:eastAsia="宋体" w:cs="宋体"/>
          <w:sz w:val="21"/>
          <w:szCs w:val="21"/>
          <w:lang w:eastAsia="zh-CN"/>
        </w:rPr>
      </w:pPr>
    </w:p>
    <w:p w14:paraId="08B4B568">
      <w:pPr>
        <w:spacing w:line="360" w:lineRule="auto"/>
        <w:rPr>
          <w:rFonts w:hint="eastAsia" w:ascii="宋体" w:hAnsi="宋体" w:eastAsia="宋体" w:cs="宋体"/>
        </w:rPr>
      </w:pPr>
      <w:r>
        <w:rPr>
          <w:rFonts w:hint="eastAsia" w:ascii="宋体" w:hAnsi="宋体" w:eastAsia="宋体" w:cs="宋体"/>
          <w:lang w:eastAsia="zh-CN"/>
        </w:rPr>
        <w:t>4</w:t>
      </w:r>
      <w:r>
        <w:rPr>
          <w:rFonts w:hint="eastAsia" w:ascii="宋体" w:hAnsi="宋体" w:eastAsia="宋体" w:cs="宋体"/>
          <w:lang w:val="en-US" w:eastAsia="zh-CN"/>
        </w:rPr>
        <w:t>.配置清单：</w:t>
      </w:r>
    </w:p>
    <w:tbl>
      <w:tblPr>
        <w:tblStyle w:val="4"/>
        <w:tblW w:w="8503" w:type="dxa"/>
        <w:tblInd w:w="0" w:type="dxa"/>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52"/>
        <w:gridCol w:w="5741"/>
        <w:gridCol w:w="1710"/>
      </w:tblGrid>
      <w:tr w14:paraId="6A3A17B0">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89BF6BE">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b/>
                <w:kern w:val="0"/>
                <w:sz w:val="24"/>
                <w:szCs w:val="24"/>
                <w:lang w:val="en-US" w:eastAsia="zh-CN" w:bidi="ar"/>
              </w:rPr>
              <w:t>序号</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2D10848">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b/>
                <w:kern w:val="0"/>
                <w:sz w:val="24"/>
                <w:szCs w:val="24"/>
                <w:lang w:val="en-US" w:eastAsia="zh-CN" w:bidi="ar"/>
              </w:rPr>
              <w:t>名称</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D3671BF">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kern w:val="0"/>
                <w:sz w:val="24"/>
                <w:szCs w:val="24"/>
                <w:lang w:val="en-US" w:eastAsia="zh-CN" w:bidi="ar"/>
              </w:rPr>
            </w:pPr>
            <w:r>
              <w:rPr>
                <w:rFonts w:hint="eastAsia" w:ascii="宋体" w:hAnsi="宋体" w:eastAsia="宋体" w:cs="宋体"/>
                <w:b/>
                <w:kern w:val="0"/>
                <w:sz w:val="24"/>
                <w:szCs w:val="24"/>
                <w:lang w:val="en-US" w:eastAsia="zh-CN" w:bidi="ar"/>
              </w:rPr>
              <w:t>数量</w:t>
            </w:r>
          </w:p>
        </w:tc>
      </w:tr>
      <w:tr w14:paraId="5C454391">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357BC4F">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1</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3282E4F7">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Hans" w:bidi="ar"/>
              </w:rPr>
              <w:t>电子支气管内窥镜</w:t>
            </w:r>
            <w:r>
              <w:rPr>
                <w:rFonts w:hint="eastAsia" w:ascii="宋体" w:hAnsi="宋体" w:eastAsia="宋体" w:cs="宋体"/>
                <w:kern w:val="0"/>
                <w:sz w:val="22"/>
                <w:szCs w:val="22"/>
                <w:lang w:val="en-US" w:eastAsia="zh-CN" w:bidi="ar"/>
              </w:rPr>
              <w:t>操作部（含主控软件）</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669DB9F8">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1条</w:t>
            </w:r>
          </w:p>
        </w:tc>
      </w:tr>
      <w:tr w14:paraId="2A650856">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shd w:val="clear" w:color="auto" w:fill="auto"/>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93BFAF3">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2</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594C2C07">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防水盖</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F6A708E">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1个</w:t>
            </w:r>
          </w:p>
        </w:tc>
      </w:tr>
      <w:tr w14:paraId="343719E7">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AC61EFC">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3</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7FA4D4A9">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活检阀帽</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1A98A10E">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5个</w:t>
            </w:r>
          </w:p>
        </w:tc>
      </w:tr>
      <w:tr w14:paraId="7C94BEB5">
        <w:tblPrEx>
          <w:tblBorders>
            <w:top w:val="single" w:color="4574A2" w:sz="4" w:space="0"/>
            <w:left w:val="single" w:color="4574A2" w:sz="4" w:space="0"/>
            <w:bottom w:val="single" w:color="4574A2" w:sz="4" w:space="0"/>
            <w:right w:val="single" w:color="4574A2" w:sz="4" w:space="0"/>
            <w:insideH w:val="none" w:color="auto" w:sz="0" w:space="0"/>
            <w:insideV w:val="none" w:color="auto" w:sz="0" w:space="0"/>
          </w:tblBorders>
          <w:shd w:val="clear" w:color="auto" w:fill="auto"/>
          <w:tblCellMar>
            <w:top w:w="0" w:type="dxa"/>
            <w:left w:w="0" w:type="dxa"/>
            <w:bottom w:w="0" w:type="dxa"/>
            <w:right w:w="0" w:type="dxa"/>
          </w:tblCellMar>
        </w:tblPrEx>
        <w:tc>
          <w:tcPr>
            <w:tcW w:w="1052"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0F084BCA">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lang w:eastAsia="zh-CN"/>
              </w:rPr>
            </w:pPr>
            <w:r>
              <w:rPr>
                <w:rFonts w:hint="eastAsia" w:ascii="宋体" w:hAnsi="宋体" w:eastAsia="宋体" w:cs="宋体"/>
                <w:lang w:val="en-US" w:eastAsia="zh-CN"/>
              </w:rPr>
              <w:t>4</w:t>
            </w:r>
          </w:p>
        </w:tc>
        <w:tc>
          <w:tcPr>
            <w:tcW w:w="5741"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2B62B9D6">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rPr>
            </w:pPr>
            <w:r>
              <w:rPr>
                <w:rFonts w:hint="eastAsia" w:ascii="宋体" w:hAnsi="宋体" w:eastAsia="宋体" w:cs="宋体"/>
                <w:kern w:val="0"/>
                <w:sz w:val="22"/>
                <w:szCs w:val="22"/>
                <w:lang w:val="en-US" w:eastAsia="zh-CN" w:bidi="ar"/>
              </w:rPr>
              <w:t>吸引按钮</w:t>
            </w:r>
          </w:p>
        </w:tc>
        <w:tc>
          <w:tcPr>
            <w:tcW w:w="1710" w:type="dxa"/>
            <w:tcBorders>
              <w:top w:val="single" w:color="auto" w:sz="4" w:space="0"/>
              <w:left w:val="single" w:color="auto" w:sz="4" w:space="0"/>
              <w:bottom w:val="single" w:color="auto" w:sz="4" w:space="0"/>
              <w:right w:val="single" w:color="auto" w:sz="4" w:space="0"/>
            </w:tcBorders>
            <w:shd w:val="clear" w:color="auto" w:fill="auto"/>
            <w:tcMar>
              <w:left w:w="100" w:type="dxa"/>
              <w:right w:w="100" w:type="dxa"/>
            </w:tcMar>
            <w:vAlign w:val="center"/>
          </w:tcPr>
          <w:p w14:paraId="7465140B">
            <w:pPr>
              <w:pStyle w:val="3"/>
              <w:keepNext w:val="0"/>
              <w:keepLines w:val="0"/>
              <w:widowControl/>
              <w:suppressLineNumbers w:val="0"/>
              <w:spacing w:before="0" w:beforeAutospacing="0" w:after="0" w:afterAutospacing="0" w:line="360" w:lineRule="auto"/>
              <w:ind w:left="0" w:right="0"/>
              <w:jc w:val="center"/>
              <w:rPr>
                <w:rFonts w:hint="eastAsia" w:ascii="宋体" w:hAnsi="宋体" w:eastAsia="宋体" w:cs="宋体"/>
                <w:kern w:val="0"/>
                <w:sz w:val="22"/>
                <w:szCs w:val="22"/>
                <w:lang w:val="en-US" w:eastAsia="zh-CN" w:bidi="ar"/>
              </w:rPr>
            </w:pPr>
            <w:r>
              <w:rPr>
                <w:rFonts w:hint="eastAsia" w:ascii="宋体" w:hAnsi="宋体" w:eastAsia="宋体" w:cs="宋体"/>
                <w:kern w:val="0"/>
                <w:sz w:val="22"/>
                <w:szCs w:val="22"/>
                <w:lang w:val="en-US" w:eastAsia="zh-CN" w:bidi="ar"/>
              </w:rPr>
              <w:t>2个</w:t>
            </w:r>
          </w:p>
        </w:tc>
      </w:tr>
    </w:tbl>
    <w:p w14:paraId="05337FB6">
      <w:pPr>
        <w:spacing w:line="360" w:lineRule="auto"/>
        <w:rPr>
          <w:rFonts w:hint="eastAsia" w:ascii="宋体" w:hAnsi="宋体" w:eastAsia="宋体" w:cs="宋体"/>
        </w:rPr>
      </w:pPr>
    </w:p>
    <w:p w14:paraId="399F31D5">
      <w:pPr>
        <w:spacing w:line="360" w:lineRule="auto"/>
        <w:rPr>
          <w:rFonts w:hint="eastAsia" w:ascii="宋体" w:hAnsi="宋体" w:eastAsia="宋体" w:cs="宋体"/>
        </w:rPr>
      </w:pPr>
    </w:p>
    <w:p w14:paraId="64F2089A">
      <w:pPr>
        <w:spacing w:line="360" w:lineRule="auto"/>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电子内窥镜图像处理器</w:t>
      </w:r>
    </w:p>
    <w:p w14:paraId="3EF832D5">
      <w:pPr>
        <w:spacing w:line="360" w:lineRule="auto"/>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技 术 参 数</w:t>
      </w:r>
    </w:p>
    <w:p w14:paraId="3F24F0FA">
      <w:pPr>
        <w:pStyle w:val="2"/>
        <w:spacing w:before="0" w:beforeAutospacing="0" w:after="0" w:afterAutospacing="0"/>
        <w:rPr>
          <w:rFonts w:hint="eastAsia" w:ascii="宋体" w:hAnsi="宋体" w:eastAsia="宋体" w:cs="宋体"/>
          <w:b/>
          <w:color w:val="auto"/>
          <w:sz w:val="24"/>
          <w:szCs w:val="24"/>
          <w:highlight w:val="none"/>
        </w:rPr>
      </w:pPr>
    </w:p>
    <w:p w14:paraId="203BFB4B">
      <w:pPr>
        <w:spacing w:beforeLines="0" w:afterLines="0" w:line="360" w:lineRule="auto"/>
        <w:rPr>
          <w:rFonts w:hint="eastAsia" w:ascii="宋体" w:hAnsi="宋体" w:eastAsia="宋体" w:cs="宋体"/>
          <w:b/>
          <w:bCs/>
          <w:color w:val="auto"/>
          <w:sz w:val="21"/>
          <w:szCs w:val="24"/>
          <w:highlight w:val="none"/>
        </w:rPr>
      </w:pPr>
      <w:r>
        <w:rPr>
          <w:rFonts w:hint="eastAsia" w:ascii="宋体" w:hAnsi="宋体" w:eastAsia="宋体" w:cs="宋体"/>
          <w:b/>
          <w:bCs/>
          <w:color w:val="auto"/>
          <w:sz w:val="21"/>
          <w:szCs w:val="24"/>
          <w:highlight w:val="none"/>
          <w:lang w:val="en-US" w:eastAsia="zh-CN"/>
        </w:rPr>
        <w:t>1</w:t>
      </w:r>
      <w:r>
        <w:rPr>
          <w:rFonts w:hint="eastAsia" w:ascii="宋体" w:hAnsi="宋体" w:eastAsia="宋体" w:cs="宋体"/>
          <w:b/>
          <w:bCs/>
          <w:color w:val="auto"/>
          <w:sz w:val="21"/>
          <w:szCs w:val="24"/>
          <w:highlight w:val="none"/>
        </w:rPr>
        <w:t>.</w:t>
      </w:r>
      <w:r>
        <w:rPr>
          <w:rFonts w:hint="eastAsia" w:ascii="宋体" w:hAnsi="宋体" w:eastAsia="宋体" w:cs="宋体"/>
          <w:b/>
          <w:bCs/>
          <w:color w:val="auto"/>
          <w:sz w:val="21"/>
          <w:szCs w:val="24"/>
          <w:highlight w:val="none"/>
          <w:lang w:val="en-US" w:eastAsia="zh-CN"/>
        </w:rPr>
        <w:t>技术参数</w:t>
      </w:r>
      <w:r>
        <w:rPr>
          <w:rFonts w:hint="eastAsia" w:ascii="宋体" w:hAnsi="宋体" w:eastAsia="宋体" w:cs="宋体"/>
          <w:b/>
          <w:bCs/>
          <w:color w:val="auto"/>
          <w:sz w:val="21"/>
          <w:szCs w:val="24"/>
          <w:highlight w:val="none"/>
        </w:rPr>
        <w:t>：</w:t>
      </w:r>
    </w:p>
    <w:p w14:paraId="31C9AC75">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w:t>
      </w:r>
      <w:r>
        <w:rPr>
          <w:rFonts w:hint="eastAsia" w:ascii="宋体" w:hAnsi="宋体" w:eastAsia="宋体" w:cs="宋体"/>
          <w:color w:val="auto"/>
          <w:sz w:val="21"/>
          <w:szCs w:val="24"/>
          <w:highlight w:val="none"/>
          <w:lang w:val="en-US" w:eastAsia="zh-CN"/>
        </w:rPr>
        <w:t xml:space="preserve">1 </w:t>
      </w:r>
      <w:r>
        <w:rPr>
          <w:rFonts w:hint="eastAsia" w:ascii="宋体" w:hAnsi="宋体" w:eastAsia="宋体" w:cs="宋体"/>
          <w:color w:val="auto"/>
          <w:sz w:val="21"/>
          <w:szCs w:val="24"/>
          <w:highlight w:val="none"/>
        </w:rPr>
        <w:t>具备单独图像处理器医疗器械注册证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产品组成部分不含内镜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p w14:paraId="31278E5E">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配备10.1英寸显示屏。</w:t>
      </w:r>
    </w:p>
    <w:p w14:paraId="2460043A">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1.3</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显示屏：TFT-LCD，液晶玻璃。</w:t>
      </w:r>
    </w:p>
    <w:p w14:paraId="642BB66E">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1.4</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显示屏高宽比为16：10，最大视野可达170°。</w:t>
      </w:r>
    </w:p>
    <w:p w14:paraId="1C97C2BF">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1.5</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电容式触摸屏。</w:t>
      </w:r>
    </w:p>
    <w:p w14:paraId="32440810">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1.6</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高清视频信号输出分辨率：</w:t>
      </w:r>
      <w:r>
        <w:rPr>
          <w:rFonts w:hint="eastAsia" w:ascii="宋体" w:hAnsi="宋体" w:eastAsia="宋体" w:cs="宋体"/>
          <w:color w:val="auto"/>
          <w:sz w:val="21"/>
          <w:szCs w:val="24"/>
          <w:highlight w:val="none"/>
          <w:lang w:val="en-US" w:eastAsia="zh-CN"/>
        </w:rPr>
        <w:t>不低于</w:t>
      </w:r>
      <w:bookmarkStart w:id="0" w:name="_GoBack"/>
      <w:bookmarkEnd w:id="0"/>
      <w:r>
        <w:rPr>
          <w:rFonts w:hint="eastAsia" w:ascii="宋体" w:hAnsi="宋体" w:eastAsia="宋体" w:cs="宋体"/>
          <w:color w:val="auto"/>
          <w:sz w:val="21"/>
          <w:szCs w:val="24"/>
          <w:highlight w:val="none"/>
        </w:rPr>
        <w:t>1280</w:t>
      </w:r>
      <w:r>
        <w:rPr>
          <w:rFonts w:hint="eastAsia" w:ascii="宋体" w:hAnsi="宋体" w:eastAsia="宋体" w:cs="宋体"/>
          <w:color w:val="auto"/>
          <w:sz w:val="21"/>
          <w:szCs w:val="24"/>
          <w:highlight w:val="none"/>
          <w:lang w:val="en-US" w:eastAsia="zh-CN"/>
        </w:rPr>
        <w:t>dpi</w:t>
      </w:r>
      <w:r>
        <w:rPr>
          <w:rFonts w:hint="eastAsia" w:ascii="宋体" w:hAnsi="宋体" w:eastAsia="宋体" w:cs="宋体"/>
          <w:color w:val="auto"/>
          <w:sz w:val="21"/>
          <w:szCs w:val="24"/>
          <w:highlight w:val="none"/>
        </w:rPr>
        <w:t>×800</w:t>
      </w:r>
      <w:r>
        <w:rPr>
          <w:rFonts w:hint="eastAsia" w:ascii="宋体" w:hAnsi="宋体" w:eastAsia="宋体" w:cs="宋体"/>
          <w:color w:val="auto"/>
          <w:sz w:val="21"/>
          <w:szCs w:val="24"/>
          <w:highlight w:val="none"/>
          <w:lang w:val="en-US" w:eastAsia="zh-CN"/>
        </w:rPr>
        <w:t>dpi</w:t>
      </w:r>
      <w:r>
        <w:rPr>
          <w:rFonts w:hint="eastAsia" w:ascii="宋体" w:hAnsi="宋体" w:eastAsia="宋体" w:cs="宋体"/>
          <w:color w:val="auto"/>
          <w:sz w:val="21"/>
          <w:szCs w:val="24"/>
          <w:highlight w:val="none"/>
        </w:rPr>
        <w:t>。</w:t>
      </w:r>
    </w:p>
    <w:p w14:paraId="4B262A9A">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1.7</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开机时间≤5秒，一键开机即能使用。</w:t>
      </w:r>
    </w:p>
    <w:p w14:paraId="109E780C">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1.8</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通过操作部功能按键即可实现：图像放大缩小，图像冻结，拍照，录像功能（无需触摸屏幕，避免术后消毒问题）。</w:t>
      </w:r>
    </w:p>
    <w:p w14:paraId="069A5C4A">
      <w:pPr>
        <w:numPr>
          <w:ilvl w:val="0"/>
          <w:numId w:val="0"/>
        </w:numPr>
        <w:spacing w:beforeLines="0" w:afterLines="0" w:line="360" w:lineRule="auto"/>
        <w:ind w:leftChars="0"/>
        <w:rPr>
          <w:rFonts w:hint="eastAsia" w:ascii="宋体" w:hAnsi="宋体" w:eastAsia="宋体" w:cs="宋体"/>
          <w:color w:val="auto"/>
          <w:sz w:val="21"/>
          <w:szCs w:val="24"/>
          <w:highlight w:val="none"/>
          <w:lang w:val="en-US" w:eastAsia="zh-CN"/>
        </w:rPr>
      </w:pPr>
      <w:r>
        <w:rPr>
          <w:rFonts w:hint="eastAsia" w:ascii="宋体" w:hAnsi="宋体" w:eastAsia="宋体" w:cs="宋体"/>
          <w:color w:val="auto"/>
          <w:sz w:val="21"/>
          <w:szCs w:val="24"/>
          <w:highlight w:val="none"/>
        </w:rPr>
        <w:t>1.9</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配备有外置存储卡，可以存储图片及视频</w:t>
      </w:r>
      <w:r>
        <w:rPr>
          <w:rFonts w:hint="eastAsia" w:ascii="宋体" w:hAnsi="宋体" w:eastAsia="宋体" w:cs="宋体"/>
          <w:color w:val="auto"/>
          <w:sz w:val="21"/>
          <w:szCs w:val="24"/>
          <w:highlight w:val="none"/>
          <w:lang w:val="en-US" w:eastAsia="zh-CN"/>
        </w:rPr>
        <w:t>,内存≥64G,可兼容128G。</w:t>
      </w:r>
    </w:p>
    <w:p w14:paraId="53B59F20">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1.10</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本机上可实时回放视频及照片。</w:t>
      </w:r>
    </w:p>
    <w:p w14:paraId="01BEE73A">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1.11</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采用独有的图像自动还原清晰显像算法技术，确保显示清晰还原度。</w:t>
      </w:r>
    </w:p>
    <w:p w14:paraId="5566B7FE">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1.12</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具有白平衡功能，可一键恢复白平衡出厂值，具有开机记忆色彩功能。</w:t>
      </w:r>
    </w:p>
    <w:p w14:paraId="008C8762">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1.13</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具有可实时观察与记录功能，且可一键隐藏所有按键功能。有利于临床操作使用。</w:t>
      </w:r>
    </w:p>
    <w:p w14:paraId="29484B6C">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1.14</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具有≥3种输出图像形状可选，满足不同操作者的习惯</w:t>
      </w:r>
      <w:r>
        <w:rPr>
          <w:rFonts w:hint="eastAsia" w:ascii="宋体" w:hAnsi="宋体" w:eastAsia="宋体" w:cs="宋体"/>
          <w:color w:val="auto"/>
          <w:sz w:val="21"/>
          <w:szCs w:val="24"/>
          <w:highlight w:val="none"/>
          <w:lang w:val="en-US" w:eastAsia="zh-CN"/>
        </w:rPr>
        <w:t>和喜好</w:t>
      </w:r>
      <w:r>
        <w:rPr>
          <w:rFonts w:hint="eastAsia" w:ascii="宋体" w:hAnsi="宋体" w:eastAsia="宋体" w:cs="宋体"/>
          <w:color w:val="auto"/>
          <w:sz w:val="21"/>
          <w:szCs w:val="24"/>
          <w:highlight w:val="none"/>
        </w:rPr>
        <w:t>。</w:t>
      </w:r>
    </w:p>
    <w:p w14:paraId="38876E4D">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1.15</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图像可全屏显示。</w:t>
      </w:r>
    </w:p>
    <w:p w14:paraId="2B4284C2">
      <w:pPr>
        <w:pStyle w:val="2"/>
        <w:spacing w:before="0" w:beforeAutospacing="0" w:after="0" w:afterAutospacing="0" w:line="420" w:lineRule="exact"/>
        <w:jc w:val="both"/>
        <w:rPr>
          <w:rFonts w:hint="eastAsia" w:ascii="宋体" w:hAnsi="宋体" w:eastAsia="宋体" w:cs="宋体"/>
          <w:color w:val="auto"/>
          <w:sz w:val="21"/>
          <w:szCs w:val="24"/>
          <w:highlight w:val="none"/>
          <w:lang w:eastAsia="zh-CN"/>
        </w:rPr>
      </w:pPr>
      <w:r>
        <w:rPr>
          <w:rFonts w:hint="eastAsia" w:ascii="宋体" w:hAnsi="宋体" w:eastAsia="宋体" w:cs="宋体"/>
          <w:color w:val="auto"/>
          <w:sz w:val="21"/>
          <w:szCs w:val="24"/>
          <w:highlight w:val="none"/>
        </w:rPr>
        <w:t>1.16</w:t>
      </w:r>
      <w:r>
        <w:rPr>
          <w:rFonts w:hint="eastAsia" w:ascii="宋体" w:hAnsi="宋体" w:eastAsia="宋体" w:cs="宋体"/>
          <w:color w:val="auto"/>
          <w:sz w:val="21"/>
          <w:szCs w:val="24"/>
          <w:highlight w:val="none"/>
          <w:lang w:val="en-US" w:eastAsia="zh-CN"/>
        </w:rPr>
        <w:t xml:space="preserve"> 亮度调节：3</w:t>
      </w:r>
      <w:r>
        <w:rPr>
          <w:rFonts w:hint="eastAsia" w:ascii="宋体" w:hAnsi="宋体" w:eastAsia="宋体" w:cs="宋体"/>
          <w:color w:val="auto"/>
          <w:sz w:val="21"/>
          <w:szCs w:val="24"/>
          <w:highlight w:val="none"/>
        </w:rPr>
        <w:t>级亮度调节</w:t>
      </w:r>
      <w:r>
        <w:rPr>
          <w:rFonts w:hint="eastAsia" w:ascii="宋体" w:hAnsi="宋体" w:eastAsia="宋体" w:cs="宋体"/>
          <w:color w:val="auto"/>
          <w:sz w:val="21"/>
          <w:szCs w:val="24"/>
          <w:highlight w:val="none"/>
          <w:lang w:eastAsia="zh-CN"/>
        </w:rPr>
        <w:t>，可调节配套使用的电子内窥镜上的LED灯的亮度</w:t>
      </w:r>
      <w:r>
        <w:rPr>
          <w:rFonts w:hint="eastAsia" w:ascii="宋体" w:hAnsi="宋体" w:eastAsia="宋体" w:cs="宋体"/>
          <w:color w:val="auto"/>
          <w:sz w:val="21"/>
          <w:szCs w:val="24"/>
          <w:highlight w:val="none"/>
        </w:rPr>
        <w:t>（非仅调节显示屏幕亮度）</w:t>
      </w:r>
      <w:r>
        <w:rPr>
          <w:rFonts w:hint="eastAsia" w:ascii="宋体" w:hAnsi="宋体" w:eastAsia="宋体" w:cs="宋体"/>
          <w:color w:val="auto"/>
          <w:sz w:val="21"/>
          <w:szCs w:val="21"/>
          <w:highlight w:val="none"/>
          <w:lang w:eastAsia="zh-CN"/>
        </w:rPr>
        <w:t>。</w:t>
      </w:r>
    </w:p>
    <w:p w14:paraId="1A312197">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1.17</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具备录像，录音功能，可以实现带音频录像的实时存储。</w:t>
      </w:r>
    </w:p>
    <w:p w14:paraId="5E035744">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1.18</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具有摄录时间长短提示功能与循环摄录功能及电量智能检测指示标示（用于显示充电电量或适配器连接充电提示）。</w:t>
      </w:r>
    </w:p>
    <w:p w14:paraId="23F62F71">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1.19</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可进行色彩参数调节，包括对比度、饱和度及亮度。</w:t>
      </w:r>
    </w:p>
    <w:p w14:paraId="333BDE26">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1.20</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色彩还原性≥4级。</w:t>
      </w:r>
    </w:p>
    <w:p w14:paraId="047740DB">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1.21</w:t>
      </w:r>
      <w:r>
        <w:rPr>
          <w:rFonts w:hint="eastAsia" w:ascii="宋体" w:hAnsi="宋体" w:eastAsia="宋体" w:cs="宋体"/>
          <w:color w:val="auto"/>
          <w:sz w:val="21"/>
          <w:szCs w:val="24"/>
          <w:highlight w:val="none"/>
          <w:lang w:val="en-US" w:eastAsia="zh-CN"/>
        </w:rPr>
        <w:t xml:space="preserve"> </w:t>
      </w:r>
      <w:r>
        <w:rPr>
          <w:rFonts w:hint="eastAsia" w:ascii="宋体" w:hAnsi="宋体" w:eastAsia="宋体" w:cs="宋体"/>
          <w:color w:val="auto"/>
          <w:sz w:val="21"/>
          <w:szCs w:val="24"/>
          <w:highlight w:val="none"/>
        </w:rPr>
        <w:t>可设置开机后输入管理用户的账号密码，输入正确可查看产品的实时图像及更改系统设置。</w:t>
      </w:r>
    </w:p>
    <w:p w14:paraId="3034E263">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w:t>
      </w:r>
      <w:r>
        <w:rPr>
          <w:rFonts w:hint="eastAsia" w:ascii="宋体" w:hAnsi="宋体" w:eastAsia="宋体" w:cs="宋体"/>
          <w:color w:val="auto"/>
          <w:sz w:val="21"/>
          <w:szCs w:val="24"/>
          <w:highlight w:val="none"/>
          <w:lang w:val="en-US" w:eastAsia="zh-CN"/>
        </w:rPr>
        <w:t xml:space="preserve">2 </w:t>
      </w:r>
      <w:r>
        <w:rPr>
          <w:rFonts w:hint="eastAsia" w:ascii="宋体" w:hAnsi="宋体" w:eastAsia="宋体" w:cs="宋体"/>
          <w:color w:val="auto"/>
          <w:sz w:val="21"/>
          <w:szCs w:val="24"/>
          <w:highlight w:val="none"/>
        </w:rPr>
        <w:t>具有CVBS视频输出接口和HDMI视频输出接口，可与医用显示器或工作站连接。</w:t>
      </w:r>
    </w:p>
    <w:p w14:paraId="308A8EFE">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w:t>
      </w:r>
      <w:r>
        <w:rPr>
          <w:rFonts w:hint="eastAsia" w:ascii="宋体" w:hAnsi="宋体" w:eastAsia="宋体" w:cs="宋体"/>
          <w:color w:val="auto"/>
          <w:sz w:val="21"/>
          <w:szCs w:val="24"/>
          <w:highlight w:val="none"/>
          <w:lang w:val="en-US" w:eastAsia="zh-CN"/>
        </w:rPr>
        <w:t xml:space="preserve">3 </w:t>
      </w:r>
      <w:r>
        <w:rPr>
          <w:rFonts w:hint="eastAsia" w:ascii="宋体" w:hAnsi="宋体" w:eastAsia="宋体" w:cs="宋体"/>
          <w:color w:val="auto"/>
          <w:sz w:val="21"/>
          <w:szCs w:val="24"/>
          <w:highlight w:val="none"/>
        </w:rPr>
        <w:t>采用与同类进口产品相同的立体式航空插座技术连接，有效避免传统点触式连接长时间使用后接触不良造成死机、卡屏。</w:t>
      </w:r>
    </w:p>
    <w:p w14:paraId="421E7A81">
      <w:pPr>
        <w:pStyle w:val="2"/>
        <w:spacing w:before="0" w:beforeAutospacing="0" w:after="0" w:afterAutospacing="0" w:line="420" w:lineRule="exact"/>
        <w:jc w:val="both"/>
        <w:rPr>
          <w:rFonts w:hint="eastAsia" w:ascii="宋体" w:hAnsi="宋体" w:eastAsia="宋体" w:cs="宋体"/>
          <w:color w:val="auto"/>
          <w:sz w:val="21"/>
          <w:szCs w:val="24"/>
          <w:highlight w:val="none"/>
        </w:rPr>
      </w:pPr>
      <w:r>
        <w:rPr>
          <w:rFonts w:hint="eastAsia" w:ascii="宋体" w:hAnsi="宋体" w:eastAsia="宋体" w:cs="宋体"/>
          <w:color w:val="auto"/>
          <w:sz w:val="21"/>
          <w:szCs w:val="21"/>
          <w:lang w:val="en-US" w:eastAsia="zh-CN"/>
        </w:rPr>
        <w:t xml:space="preserve">1.24 </w:t>
      </w:r>
      <w:r>
        <w:rPr>
          <w:rFonts w:hint="eastAsia" w:ascii="宋体" w:hAnsi="宋体" w:eastAsia="宋体" w:cs="宋体"/>
          <w:color w:val="auto"/>
          <w:sz w:val="21"/>
          <w:szCs w:val="21"/>
        </w:rPr>
        <w:t>视频</w:t>
      </w:r>
      <w:r>
        <w:rPr>
          <w:rFonts w:hint="eastAsia" w:ascii="宋体" w:hAnsi="宋体" w:eastAsia="宋体" w:cs="宋体"/>
          <w:color w:val="auto"/>
          <w:sz w:val="21"/>
          <w:szCs w:val="21"/>
          <w:lang w:val="en-US" w:eastAsia="zh-CN"/>
        </w:rPr>
        <w:t>转接线：搭配指定型号内镜时可选配180度可旋转的视频转接线，调整视频线方向，配合更多诊疗操作。</w:t>
      </w:r>
    </w:p>
    <w:p w14:paraId="62C87FB7">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1.2</w:t>
      </w:r>
      <w:r>
        <w:rPr>
          <w:rFonts w:hint="eastAsia" w:ascii="宋体" w:hAnsi="宋体" w:eastAsia="宋体" w:cs="宋体"/>
          <w:color w:val="auto"/>
          <w:sz w:val="21"/>
          <w:szCs w:val="24"/>
          <w:highlight w:val="none"/>
          <w:lang w:val="en-US" w:eastAsia="zh-CN"/>
        </w:rPr>
        <w:t>5 产品兼容性</w:t>
      </w:r>
      <w:r>
        <w:rPr>
          <w:rFonts w:hint="eastAsia" w:ascii="宋体" w:hAnsi="宋体" w:eastAsia="宋体" w:cs="宋体"/>
          <w:color w:val="auto"/>
          <w:sz w:val="21"/>
          <w:szCs w:val="24"/>
          <w:highlight w:val="none"/>
        </w:rPr>
        <w:t>：</w:t>
      </w:r>
      <w:r>
        <w:rPr>
          <w:rFonts w:hint="eastAsia" w:ascii="宋体" w:hAnsi="宋体" w:eastAsia="宋体" w:cs="宋体"/>
          <w:color w:val="auto"/>
          <w:sz w:val="21"/>
          <w:szCs w:val="24"/>
          <w:highlight w:val="none"/>
          <w:lang w:val="en-US" w:eastAsia="zh-CN"/>
        </w:rPr>
        <w:t>可兼容同一品牌的视频气管插管镜，电子</w:t>
      </w:r>
      <w:r>
        <w:rPr>
          <w:rFonts w:hint="eastAsia" w:ascii="宋体" w:hAnsi="宋体" w:eastAsia="宋体" w:cs="宋体"/>
          <w:color w:val="auto"/>
          <w:sz w:val="21"/>
          <w:szCs w:val="24"/>
          <w:highlight w:val="none"/>
        </w:rPr>
        <w:t>支气管</w:t>
      </w:r>
      <w:r>
        <w:rPr>
          <w:rFonts w:hint="eastAsia" w:ascii="宋体" w:hAnsi="宋体" w:eastAsia="宋体" w:cs="宋体"/>
          <w:color w:val="auto"/>
          <w:sz w:val="21"/>
          <w:szCs w:val="24"/>
          <w:highlight w:val="none"/>
          <w:lang w:val="en-US" w:eastAsia="zh-CN"/>
        </w:rPr>
        <w:t>内窥</w:t>
      </w:r>
      <w:r>
        <w:rPr>
          <w:rFonts w:hint="eastAsia" w:ascii="宋体" w:hAnsi="宋体" w:eastAsia="宋体" w:cs="宋体"/>
          <w:color w:val="auto"/>
          <w:sz w:val="21"/>
          <w:szCs w:val="24"/>
          <w:highlight w:val="none"/>
        </w:rPr>
        <w:t>镜、</w:t>
      </w:r>
      <w:r>
        <w:rPr>
          <w:rFonts w:hint="eastAsia" w:ascii="宋体" w:hAnsi="宋体" w:eastAsia="宋体" w:cs="宋体"/>
          <w:color w:val="auto"/>
          <w:sz w:val="21"/>
          <w:szCs w:val="24"/>
          <w:highlight w:val="none"/>
          <w:lang w:val="en-US" w:eastAsia="zh-CN"/>
        </w:rPr>
        <w:t>输尿管肾盂镜</w:t>
      </w:r>
      <w:r>
        <w:rPr>
          <w:rFonts w:hint="eastAsia" w:ascii="宋体" w:hAnsi="宋体" w:eastAsia="宋体" w:cs="宋体"/>
          <w:color w:val="auto"/>
          <w:sz w:val="21"/>
          <w:szCs w:val="24"/>
          <w:highlight w:val="none"/>
        </w:rPr>
        <w:t>等。</w:t>
      </w:r>
    </w:p>
    <w:p w14:paraId="568F0753">
      <w:pPr>
        <w:numPr>
          <w:ilvl w:val="0"/>
          <w:numId w:val="0"/>
        </w:numPr>
        <w:spacing w:beforeLines="0" w:afterLines="0" w:line="360" w:lineRule="auto"/>
        <w:ind w:leftChars="0"/>
        <w:rPr>
          <w:rFonts w:hint="eastAsia" w:ascii="宋体" w:hAnsi="宋体" w:eastAsia="宋体" w:cs="宋体"/>
          <w:color w:val="auto"/>
          <w:sz w:val="21"/>
          <w:szCs w:val="24"/>
          <w:highlight w:val="none"/>
        </w:rPr>
      </w:pPr>
    </w:p>
    <w:p w14:paraId="3E600A19">
      <w:pPr>
        <w:numPr>
          <w:ilvl w:val="0"/>
          <w:numId w:val="0"/>
        </w:numPr>
        <w:spacing w:beforeLines="0" w:afterLines="0" w:line="360" w:lineRule="auto"/>
        <w:ind w:leftChars="0"/>
        <w:rPr>
          <w:rFonts w:hint="eastAsia" w:ascii="宋体" w:hAnsi="宋体" w:eastAsia="宋体" w:cs="宋体"/>
          <w:b/>
          <w:bCs/>
          <w:color w:val="auto"/>
          <w:sz w:val="21"/>
          <w:szCs w:val="24"/>
          <w:highlight w:val="none"/>
        </w:rPr>
      </w:pPr>
      <w:r>
        <w:rPr>
          <w:rFonts w:hint="eastAsia" w:ascii="宋体" w:hAnsi="宋体" w:eastAsia="宋体" w:cs="宋体"/>
          <w:b/>
          <w:bCs/>
          <w:color w:val="auto"/>
          <w:sz w:val="21"/>
          <w:szCs w:val="24"/>
          <w:highlight w:val="none"/>
          <w:lang w:val="en-US" w:eastAsia="zh-CN"/>
        </w:rPr>
        <w:t>2.</w:t>
      </w:r>
      <w:r>
        <w:rPr>
          <w:rFonts w:hint="eastAsia" w:ascii="宋体" w:hAnsi="宋体" w:eastAsia="宋体" w:cs="宋体"/>
          <w:b/>
          <w:bCs/>
          <w:color w:val="auto"/>
          <w:sz w:val="21"/>
          <w:szCs w:val="24"/>
          <w:highlight w:val="none"/>
        </w:rPr>
        <w:t>供电方式：</w:t>
      </w:r>
    </w:p>
    <w:p w14:paraId="073A7290">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（1）电池供电：具有内置可充电电池,一次充满电的内部电源连续工作时间不小于4小时。</w:t>
      </w:r>
    </w:p>
    <w:p w14:paraId="5078ADC6">
      <w:pPr>
        <w:numPr>
          <w:ilvl w:val="0"/>
          <w:numId w:val="0"/>
        </w:numPr>
        <w:spacing w:beforeLines="0" w:afterLines="0" w:line="360" w:lineRule="auto"/>
        <w:ind w:leftChars="0"/>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（2）交流电供电：可通过接入DC适配器连接交流电使用，可通过适配器实现24小时连续工作。</w:t>
      </w:r>
    </w:p>
    <w:p w14:paraId="521CFD61">
      <w:pPr>
        <w:numPr>
          <w:ilvl w:val="0"/>
          <w:numId w:val="0"/>
        </w:numPr>
        <w:spacing w:beforeLines="0" w:afterLines="0" w:line="360" w:lineRule="auto"/>
        <w:ind w:leftChars="0"/>
        <w:rPr>
          <w:rFonts w:hint="eastAsia" w:ascii="宋体" w:hAnsi="宋体" w:eastAsia="宋体" w:cs="宋体"/>
          <w:color w:val="auto"/>
          <w:sz w:val="21"/>
          <w:szCs w:val="24"/>
          <w:highlight w:val="none"/>
        </w:rPr>
      </w:pPr>
    </w:p>
    <w:p w14:paraId="5E0BBF8B">
      <w:pPr>
        <w:widowControl/>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rPr>
        <w:t>.配置清单</w:t>
      </w:r>
    </w:p>
    <w:tbl>
      <w:tblPr>
        <w:tblStyle w:val="4"/>
        <w:tblpPr w:leftFromText="180" w:rightFromText="180" w:vertAnchor="text" w:horzAnchor="margin" w:tblpY="334"/>
        <w:tblW w:w="5000" w:type="pct"/>
        <w:tblInd w:w="0" w:type="dxa"/>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Layout w:type="autofit"/>
        <w:tblCellMar>
          <w:top w:w="0" w:type="dxa"/>
          <w:left w:w="108" w:type="dxa"/>
          <w:bottom w:w="0" w:type="dxa"/>
          <w:right w:w="108" w:type="dxa"/>
        </w:tblCellMar>
      </w:tblPr>
      <w:tblGrid>
        <w:gridCol w:w="1452"/>
        <w:gridCol w:w="6961"/>
        <w:gridCol w:w="1781"/>
      </w:tblGrid>
      <w:tr w14:paraId="3EF39EDC">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4DEA2B60">
            <w:pPr>
              <w:tabs>
                <w:tab w:val="left" w:pos="1322"/>
              </w:tabs>
              <w:jc w:val="center"/>
              <w:rPr>
                <w:rFonts w:hint="eastAsia" w:ascii="宋体" w:hAnsi="宋体" w:eastAsia="宋体" w:cs="宋体"/>
                <w:b/>
                <w:bCs/>
                <w:color w:val="auto"/>
                <w:sz w:val="24"/>
                <w:szCs w:val="24"/>
                <w:highlight w:val="none"/>
                <w:lang w:val="en-GB"/>
              </w:rPr>
            </w:pPr>
            <w:r>
              <w:rPr>
                <w:rFonts w:hint="eastAsia" w:ascii="宋体" w:hAnsi="宋体" w:eastAsia="宋体" w:cs="宋体"/>
                <w:b/>
                <w:bCs/>
                <w:color w:val="auto"/>
                <w:sz w:val="24"/>
                <w:szCs w:val="24"/>
                <w:highlight w:val="none"/>
                <w:lang w:val="en-GB"/>
              </w:rPr>
              <w:t>序号</w:t>
            </w:r>
          </w:p>
        </w:tc>
        <w:tc>
          <w:tcPr>
            <w:tcW w:w="3413" w:type="pct"/>
            <w:vAlign w:val="center"/>
          </w:tcPr>
          <w:p w14:paraId="72EFA589">
            <w:pPr>
              <w:tabs>
                <w:tab w:val="left" w:pos="1322"/>
              </w:tabs>
              <w:jc w:val="center"/>
              <w:rPr>
                <w:rFonts w:hint="eastAsia" w:ascii="宋体" w:hAnsi="宋体" w:eastAsia="宋体" w:cs="宋体"/>
                <w:b/>
                <w:bCs/>
                <w:color w:val="auto"/>
                <w:sz w:val="24"/>
                <w:szCs w:val="24"/>
                <w:highlight w:val="none"/>
                <w:lang w:val="en-GB"/>
              </w:rPr>
            </w:pPr>
            <w:r>
              <w:rPr>
                <w:rFonts w:hint="eastAsia" w:ascii="宋体" w:hAnsi="宋体" w:eastAsia="宋体" w:cs="宋体"/>
                <w:b/>
                <w:bCs/>
                <w:color w:val="auto"/>
                <w:sz w:val="24"/>
                <w:szCs w:val="24"/>
                <w:highlight w:val="none"/>
                <w:lang w:val="en-GB"/>
              </w:rPr>
              <w:t>名称</w:t>
            </w:r>
          </w:p>
        </w:tc>
        <w:tc>
          <w:tcPr>
            <w:tcW w:w="873" w:type="pct"/>
            <w:vAlign w:val="center"/>
          </w:tcPr>
          <w:p w14:paraId="0CBFE025">
            <w:pPr>
              <w:tabs>
                <w:tab w:val="left" w:pos="1322"/>
              </w:tabs>
              <w:jc w:val="center"/>
              <w:rPr>
                <w:rFonts w:hint="eastAsia" w:ascii="宋体" w:hAnsi="宋体" w:eastAsia="宋体" w:cs="宋体"/>
                <w:b/>
                <w:bCs/>
                <w:color w:val="auto"/>
                <w:sz w:val="24"/>
                <w:szCs w:val="24"/>
                <w:highlight w:val="none"/>
                <w:lang w:val="en-GB"/>
              </w:rPr>
            </w:pPr>
            <w:r>
              <w:rPr>
                <w:rFonts w:hint="eastAsia" w:ascii="宋体" w:hAnsi="宋体" w:eastAsia="宋体" w:cs="宋体"/>
                <w:b/>
                <w:bCs/>
                <w:color w:val="auto"/>
                <w:sz w:val="24"/>
                <w:szCs w:val="24"/>
                <w:highlight w:val="none"/>
                <w:lang w:val="en-GB"/>
              </w:rPr>
              <w:t>数量</w:t>
            </w:r>
          </w:p>
        </w:tc>
      </w:tr>
      <w:tr w14:paraId="43413155">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01078BFD">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w:t>
            </w:r>
          </w:p>
        </w:tc>
        <w:tc>
          <w:tcPr>
            <w:tcW w:w="3413" w:type="pct"/>
            <w:vAlign w:val="center"/>
          </w:tcPr>
          <w:p w14:paraId="15220242">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电子内窥镜图像处理器（含主控软件）</w:t>
            </w:r>
          </w:p>
        </w:tc>
        <w:tc>
          <w:tcPr>
            <w:tcW w:w="873" w:type="pct"/>
            <w:vAlign w:val="center"/>
          </w:tcPr>
          <w:p w14:paraId="1489F331">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1台</w:t>
            </w:r>
          </w:p>
        </w:tc>
      </w:tr>
      <w:tr w14:paraId="4E40A549">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33594764">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2</w:t>
            </w:r>
          </w:p>
        </w:tc>
        <w:tc>
          <w:tcPr>
            <w:tcW w:w="3413" w:type="pct"/>
            <w:vAlign w:val="center"/>
          </w:tcPr>
          <w:p w14:paraId="5B0D0488">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AC适配器电源线</w:t>
            </w:r>
          </w:p>
        </w:tc>
        <w:tc>
          <w:tcPr>
            <w:tcW w:w="873" w:type="pct"/>
            <w:vAlign w:val="center"/>
          </w:tcPr>
          <w:p w14:paraId="137C204A">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1条</w:t>
            </w:r>
          </w:p>
        </w:tc>
      </w:tr>
      <w:tr w14:paraId="31553CA1">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1F9C4CF5">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3</w:t>
            </w:r>
          </w:p>
        </w:tc>
        <w:tc>
          <w:tcPr>
            <w:tcW w:w="3413" w:type="pct"/>
            <w:vAlign w:val="center"/>
          </w:tcPr>
          <w:p w14:paraId="6D97B259">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12V 电源适配器</w:t>
            </w:r>
          </w:p>
        </w:tc>
        <w:tc>
          <w:tcPr>
            <w:tcW w:w="873" w:type="pct"/>
            <w:vAlign w:val="center"/>
          </w:tcPr>
          <w:p w14:paraId="556190CB">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1个</w:t>
            </w:r>
          </w:p>
        </w:tc>
      </w:tr>
      <w:tr w14:paraId="5EA74E17">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68AC8EC7">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4</w:t>
            </w:r>
          </w:p>
        </w:tc>
        <w:tc>
          <w:tcPr>
            <w:tcW w:w="3413" w:type="pct"/>
            <w:vAlign w:val="center"/>
          </w:tcPr>
          <w:p w14:paraId="41E9B762">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64G SD卡</w:t>
            </w:r>
          </w:p>
        </w:tc>
        <w:tc>
          <w:tcPr>
            <w:tcW w:w="873" w:type="pct"/>
            <w:vAlign w:val="center"/>
          </w:tcPr>
          <w:p w14:paraId="6D9D56BF">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1个</w:t>
            </w:r>
          </w:p>
        </w:tc>
      </w:tr>
      <w:tr w14:paraId="269A6571">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10A8D0B4">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5</w:t>
            </w:r>
          </w:p>
        </w:tc>
        <w:tc>
          <w:tcPr>
            <w:tcW w:w="3413" w:type="pct"/>
            <w:vAlign w:val="center"/>
          </w:tcPr>
          <w:p w14:paraId="7BDA6FAF">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SD读卡器</w:t>
            </w:r>
          </w:p>
        </w:tc>
        <w:tc>
          <w:tcPr>
            <w:tcW w:w="873" w:type="pct"/>
            <w:vAlign w:val="center"/>
          </w:tcPr>
          <w:p w14:paraId="47207139">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1个</w:t>
            </w:r>
          </w:p>
        </w:tc>
      </w:tr>
      <w:tr w14:paraId="0EE1509C">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35F5D1A8">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6</w:t>
            </w:r>
          </w:p>
        </w:tc>
        <w:tc>
          <w:tcPr>
            <w:tcW w:w="3413" w:type="pct"/>
            <w:vAlign w:val="center"/>
          </w:tcPr>
          <w:p w14:paraId="495EAFF1">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HDMI-DVI视频线</w:t>
            </w:r>
          </w:p>
        </w:tc>
        <w:tc>
          <w:tcPr>
            <w:tcW w:w="873" w:type="pct"/>
            <w:vAlign w:val="center"/>
          </w:tcPr>
          <w:p w14:paraId="3E78CD62">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1条</w:t>
            </w:r>
          </w:p>
        </w:tc>
      </w:tr>
      <w:tr w14:paraId="31E59CBD">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712" w:type="pct"/>
            <w:vAlign w:val="center"/>
          </w:tcPr>
          <w:p w14:paraId="266BDB4B">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7</w:t>
            </w:r>
          </w:p>
        </w:tc>
        <w:tc>
          <w:tcPr>
            <w:tcW w:w="3413" w:type="pct"/>
            <w:vAlign w:val="center"/>
          </w:tcPr>
          <w:p w14:paraId="204D82AB">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BNC-BNC视频线</w:t>
            </w:r>
          </w:p>
        </w:tc>
        <w:tc>
          <w:tcPr>
            <w:tcW w:w="873" w:type="pct"/>
            <w:vAlign w:val="center"/>
          </w:tcPr>
          <w:p w14:paraId="685722BD">
            <w:pPr>
              <w:jc w:val="center"/>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1条</w:t>
            </w:r>
          </w:p>
        </w:tc>
      </w:tr>
      <w:tr w14:paraId="507D367D">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1214" w:type="dxa"/>
            <w:vAlign w:val="center"/>
          </w:tcPr>
          <w:p w14:paraId="02F7062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8</w:t>
            </w:r>
          </w:p>
        </w:tc>
        <w:tc>
          <w:tcPr>
            <w:tcW w:w="5819" w:type="dxa"/>
            <w:vAlign w:val="center"/>
          </w:tcPr>
          <w:p w14:paraId="6232DEB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高清医用监视器</w:t>
            </w:r>
          </w:p>
        </w:tc>
        <w:tc>
          <w:tcPr>
            <w:tcW w:w="1489" w:type="dxa"/>
            <w:vAlign w:val="center"/>
          </w:tcPr>
          <w:p w14:paraId="6AA9A1E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1台</w:t>
            </w:r>
          </w:p>
        </w:tc>
      </w:tr>
      <w:tr w14:paraId="35BE4FF4">
        <w:tblPrEx>
          <w:tblBorders>
            <w:top w:val="double" w:color="365F91" w:sz="4" w:space="0"/>
            <w:left w:val="double" w:color="365F91" w:sz="4" w:space="0"/>
            <w:bottom w:val="double" w:color="365F91" w:sz="4" w:space="0"/>
            <w:right w:val="double" w:color="365F91" w:sz="4" w:space="0"/>
            <w:insideH w:val="dotted" w:color="244061" w:sz="4" w:space="0"/>
            <w:insideV w:val="dotted" w:color="244061" w:sz="4" w:space="0"/>
          </w:tblBorders>
          <w:tblCellMar>
            <w:top w:w="0" w:type="dxa"/>
            <w:left w:w="108" w:type="dxa"/>
            <w:bottom w:w="0" w:type="dxa"/>
            <w:right w:w="108" w:type="dxa"/>
          </w:tblCellMar>
        </w:tblPrEx>
        <w:trPr>
          <w:trHeight w:val="581" w:hRule="atLeast"/>
        </w:trPr>
        <w:tc>
          <w:tcPr>
            <w:tcW w:w="1214" w:type="dxa"/>
            <w:vAlign w:val="center"/>
          </w:tcPr>
          <w:p w14:paraId="2F70561E">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9</w:t>
            </w:r>
          </w:p>
        </w:tc>
        <w:tc>
          <w:tcPr>
            <w:tcW w:w="5819" w:type="dxa"/>
            <w:vAlign w:val="center"/>
          </w:tcPr>
          <w:p w14:paraId="29C29157">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高清工作站（包含电脑、打印机、医用台车等）</w:t>
            </w:r>
          </w:p>
        </w:tc>
        <w:tc>
          <w:tcPr>
            <w:tcW w:w="1489" w:type="dxa"/>
            <w:vAlign w:val="center"/>
          </w:tcPr>
          <w:p w14:paraId="1A3094D1">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2"/>
                <w:szCs w:val="22"/>
                <w:lang w:val="en-US" w:eastAsia="zh-CN"/>
              </w:rPr>
            </w:pPr>
            <w:r>
              <w:rPr>
                <w:rFonts w:hint="eastAsia" w:ascii="宋体" w:hAnsi="宋体" w:eastAsia="宋体" w:cs="宋体"/>
                <w:i w:val="0"/>
                <w:iCs w:val="0"/>
                <w:color w:val="auto"/>
                <w:kern w:val="0"/>
                <w:sz w:val="21"/>
                <w:szCs w:val="21"/>
                <w:highlight w:val="none"/>
                <w:u w:val="none"/>
                <w:lang w:val="en-US" w:eastAsia="zh-CN" w:bidi="ar"/>
              </w:rPr>
              <w:t>1套</w:t>
            </w:r>
          </w:p>
        </w:tc>
      </w:tr>
    </w:tbl>
    <w:p w14:paraId="77E81981">
      <w:pPr>
        <w:rPr>
          <w:rFonts w:hint="eastAsia" w:ascii="宋体" w:hAnsi="宋体" w:eastAsia="宋体" w:cs="宋体"/>
          <w:lang w:val="en-US" w:eastAsia="zh-CN"/>
        </w:rPr>
      </w:pPr>
    </w:p>
    <w:sectPr>
      <w:pgSz w:w="11906" w:h="16838"/>
      <w:pgMar w:top="964" w:right="964" w:bottom="96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8208CE"/>
    <w:rsid w:val="7CD90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spacing w:before="100" w:beforeAutospacing="1" w:after="100" w:afterAutospacing="1"/>
      <w:jc w:val="left"/>
    </w:pPr>
    <w:rPr>
      <w:rFonts w:ascii="宋体" w:hAnsi="宋体" w:cs="宋体"/>
      <w:kern w:val="0"/>
      <w:sz w:val="24"/>
    </w:rPr>
  </w:style>
  <w:style w:type="paragraph" w:styleId="3">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1757</Words>
  <Characters>2017</Characters>
  <Lines>0</Lines>
  <Paragraphs>0</Paragraphs>
  <TotalTime>7</TotalTime>
  <ScaleCrop>false</ScaleCrop>
  <LinksUpToDate>false</LinksUpToDate>
  <CharactersWithSpaces>2068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2025-03-06T12:45:00Z</dcterms:created>
  <dc:creator>Administrator</dc:creator>
  <cp:lastModifiedBy>社会主义接班人</cp:lastModifiedBy>
  <dcterms:modified xsi:type="dcterms:W3CDTF">2025-06-27T01:00:22Z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eyJoZGlkIjoiZDM2MTk0NjljMDZlYTgxYmExNWQzMDI4NjM0ZGI4ODUiLCJ1c2VySWQiOiIzMTU0MzU4MDIifQ==</vt:lpwstr>
  </property>
  <property fmtid="{D5CDD505-2E9C-101B-9397-08002B2CF9AE}" pid="4" name="ICV">
    <vt:lpwstr>A51CD07ACE85430DB359F7D22A62AB0D_12</vt:lpwstr>
  </property>
</Properties>
</file>