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生殖医学科层流系统年度维护服务磋商综合评分标准</w:t>
      </w:r>
    </w:p>
    <w:tbl>
      <w:tblPr>
        <w:tblStyle w:val="6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95"/>
        <w:gridCol w:w="1078"/>
        <w:gridCol w:w="634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gridSpan w:val="2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评审因素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标准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价格分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（满分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分）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trike/>
                <w:color w:val="000000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报价（满分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312" w:lineRule="auto"/>
              <w:ind w:firstLine="420" w:firstLineChars="200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（1）以满足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文件要求且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价格最低的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报价为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基准价，其价格分为满分。</w:t>
            </w:r>
          </w:p>
          <w:p>
            <w:pPr>
              <w:widowControl/>
              <w:spacing w:line="312" w:lineRule="auto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）价格分计算公式：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报价得分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  <w:t>=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评审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基准价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报价）×</w:t>
            </w:r>
            <w:r>
              <w:rPr>
                <w:rFonts w:hint="default" w:ascii="宋体" w:hAnsi="宋体"/>
                <w:bCs/>
                <w:color w:val="000000"/>
                <w:kern w:val="0"/>
                <w:szCs w:val="21"/>
                <w:highlight w:val="none"/>
                <w:woUserID w:val="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highlight w:val="none"/>
              </w:rPr>
              <w:t>分</w:t>
            </w:r>
          </w:p>
          <w:p>
            <w:pPr>
              <w:pStyle w:val="3"/>
              <w:spacing w:line="312" w:lineRule="auto"/>
              <w:ind w:firstLine="420" w:firstLineChars="200"/>
              <w:rPr>
                <w:rFonts w:hAnsi="宋体" w:cs="Courier New"/>
                <w:bCs/>
                <w:color w:val="000000"/>
                <w:highlight w:val="none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95" w:type="dxa"/>
            <w:vMerge w:val="restart"/>
            <w:noWrap w:val="0"/>
            <w:vAlign w:val="center"/>
          </w:tcPr>
          <w:p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</w:rPr>
              <w:t>技术分</w:t>
            </w:r>
          </w:p>
          <w:p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满分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61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项目服务实施方案分（满分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一档（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hAnsi="宋体" w:cs="宋体"/>
                <w:bCs/>
                <w:color w:val="000000"/>
                <w:szCs w:val="21"/>
                <w:highlight w:val="none"/>
                <w:lang w:eastAsia="zh-CN"/>
                <w:woUserID w:val="1"/>
              </w:rPr>
              <w:t>1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服务质量保证方案（服务方式、流程等）维护服务实施方案、对具体方案设计合理性一般；组织计划、技术规范和质量保证措施、安全保障措施等方面内容基本齐全、规范及方案、进度及目标、预期达到的效果、管理、组织协调、实施细则等，有人员配备,陈述简单，无针对性、操作性的。</w:t>
            </w:r>
          </w:p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二档（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hAnsi="宋体" w:cs="宋体"/>
                <w:bCs/>
                <w:color w:val="000000"/>
                <w:szCs w:val="21"/>
                <w:highlight w:val="none"/>
                <w:lang w:eastAsia="zh-CN"/>
                <w:woUserID w:val="1"/>
              </w:rPr>
              <w:t>3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服务质量保证方案（服务方式、流程等）维护服务实施方案、对具体方案设计合理性较好；组织计划、技术规范和质量保证措施、安全保障措施等方面内容齐全、规范及方案、进度及目标、预期达到的效果、管理、组织协调、实施细则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明确定期检查的时间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等，人员配备合理可行,陈述较详细，针对性、操作性一般的。</w:t>
            </w:r>
          </w:p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三档(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服务质量保证方案（服务方式、流程等）维护服务实施方案、对具体方案设计合理性优秀。组织计划、技术规范和质量保证措施、安全保障措施等方面内容齐全、规范及方案、进度及目标、预期达到的效果、管理、组织协调、实施细则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明确定期检查的时间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等，人员配备充足科学</w:t>
            </w:r>
            <w:r>
              <w:rPr>
                <w:rFonts w:hint="default" w:hAnsi="宋体" w:cs="宋体"/>
                <w:bCs/>
                <w:color w:val="000000"/>
                <w:szCs w:val="21"/>
                <w:highlight w:val="none"/>
                <w:woUserID w:val="1"/>
              </w:rPr>
              <w:t>、相关人员有从业证书/培训证书</w:t>
            </w:r>
            <w:bookmarkStart w:id="0" w:name="_GoBack"/>
            <w:bookmarkEnd w:id="0"/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,陈述详细，针对性、操作性强且科学合理的。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项目服务实施方案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不得分。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895" w:type="dxa"/>
            <w:vMerge w:val="continue"/>
            <w:noWrap w:val="0"/>
            <w:vAlign w:val="center"/>
          </w:tcPr>
          <w:p>
            <w:pPr>
              <w:adjustRightInd w:val="0"/>
              <w:spacing w:line="360" w:lineRule="auto"/>
              <w:ind w:left="-105" w:leftChars="-50" w:right="-105" w:rightChars="-50"/>
              <w:jc w:val="center"/>
              <w:textAlignment w:val="baseline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售后服务分（满分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一档（</w:t>
            </w:r>
            <w:r>
              <w:rPr>
                <w:rFonts w:hint="default" w:hAnsi="宋体" w:cs="宋体"/>
                <w:bCs/>
                <w:color w:val="000000"/>
                <w:szCs w:val="21"/>
                <w:highlight w:val="none"/>
                <w:woUserID w:val="1"/>
              </w:rPr>
              <w:t>9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分）：售后服务方案仅满足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文件的要求，技术培训具体计划，缺乏保障响应措施，服务经验一般，有简单的售后服务方案。</w:t>
            </w:r>
          </w:p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二档（</w:t>
            </w:r>
            <w:r>
              <w:rPr>
                <w:rFonts w:hint="default" w:hAnsi="宋体" w:cs="宋体"/>
                <w:bCs/>
                <w:color w:val="000000"/>
                <w:szCs w:val="21"/>
                <w:highlight w:val="none"/>
                <w:woUserID w:val="1"/>
              </w:rPr>
              <w:t>18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细致、合理、可行，技术培训具体计划全面，具备故障出现解决方案、质保期外维修方案、其他优惠措施、供货要求及方案，方案相对完善，服务经验良好，并承诺提供7×24售后服务热线，响应时间短，快捷、迅速，有详细的售后服务方案，具有本地化服务能力。</w:t>
            </w:r>
          </w:p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三档（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  <w:t>分）：售后服务方案细致、合理、可行，技术培训具体计划全面具有针对性，保障响应措施有力，服务经验丰富，并承诺提供7×24售后服务热线，响应时间短，快捷、迅速，有该项目详细可行的系统建设的售后服务方案、售后服务流程、应急预案、发生故障时提供备用机或有替代解决方案、质量保障方案，质保期外维修方案、其他优惠措施、供货要求及方案，且方案科学合理、切合项目实际，具有本地化服务能力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不提供售后服务方案不得分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3"/>
              <w:spacing w:line="312" w:lineRule="auto"/>
              <w:ind w:firstLine="420" w:firstLineChars="200"/>
              <w:rPr>
                <w:rFonts w:hint="eastAsia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商务分</w:t>
            </w:r>
          </w:p>
          <w:p>
            <w:pPr>
              <w:pStyle w:val="5"/>
              <w:rPr>
                <w:b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满分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0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信誉实力分</w:t>
            </w:r>
          </w:p>
          <w:p>
            <w:pPr>
              <w:spacing w:line="312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（满分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分）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pStyle w:val="3"/>
              <w:spacing w:line="312" w:lineRule="auto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响应</w:t>
            </w:r>
            <w:r>
              <w:rPr>
                <w:color w:val="000000"/>
                <w:highlight w:val="none"/>
              </w:rPr>
              <w:t>人</w:t>
            </w:r>
            <w:r>
              <w:rPr>
                <w:rFonts w:hint="eastAsia"/>
                <w:color w:val="000000"/>
                <w:highlight w:val="none"/>
              </w:rPr>
              <w:t>或所投设备厂家近三年来具有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同类</w:t>
            </w:r>
            <w:r>
              <w:rPr>
                <w:color w:val="000000"/>
                <w:highlight w:val="none"/>
              </w:rPr>
              <w:t>设备</w:t>
            </w:r>
            <w:r>
              <w:rPr>
                <w:rFonts w:hint="eastAsia"/>
                <w:color w:val="000000"/>
                <w:highlight w:val="none"/>
              </w:rPr>
              <w:t>销售业绩的，提供一份合同复印件得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highlight w:val="none"/>
              </w:rPr>
              <w:t>分，满分</w:t>
            </w:r>
            <w:r>
              <w:rPr>
                <w:color w:val="000000"/>
                <w:highlight w:val="none"/>
              </w:rPr>
              <w:t>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9</w:t>
            </w:r>
            <w:r>
              <w:rPr>
                <w:color w:val="000000"/>
                <w:highlight w:val="none"/>
              </w:rPr>
              <w:t>分。（须提供</w:t>
            </w:r>
            <w:r>
              <w:rPr>
                <w:rFonts w:hint="eastAsia"/>
                <w:color w:val="000000"/>
                <w:highlight w:val="none"/>
              </w:rPr>
              <w:t>合同</w:t>
            </w:r>
            <w:r>
              <w:rPr>
                <w:color w:val="000000"/>
                <w:highlight w:val="none"/>
              </w:rPr>
              <w:t>复印件）</w:t>
            </w:r>
          </w:p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不提供不得分</w:t>
            </w:r>
            <w:r>
              <w:rPr>
                <w:rFonts w:hint="eastAsia" w:ascii="宋体" w:hAnsi="宋体" w:cs="宋体"/>
                <w:b w:val="0"/>
                <w:bCs/>
                <w:cap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  <w:p>
            <w:pPr>
              <w:pStyle w:val="3"/>
              <w:spacing w:line="312" w:lineRule="auto"/>
              <w:ind w:firstLine="420" w:firstLineChars="200"/>
              <w:rPr>
                <w:color w:val="000000"/>
                <w:highlight w:val="none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3"/>
              <w:spacing w:line="312" w:lineRule="auto"/>
              <w:ind w:firstLine="420" w:firstLineChars="200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860" w:type="dxa"/>
            <w:gridSpan w:val="4"/>
            <w:noWrap w:val="0"/>
            <w:vAlign w:val="center"/>
          </w:tcPr>
          <w:p>
            <w:pPr>
              <w:pStyle w:val="3"/>
              <w:spacing w:line="360" w:lineRule="auto"/>
              <w:ind w:firstLine="420"/>
              <w:rPr>
                <w:rFonts w:hAnsi="宋体" w:cs="Courier New"/>
                <w:bCs/>
                <w:color w:val="000000"/>
                <w:highlight w:val="none"/>
              </w:rPr>
            </w:pPr>
            <w:r>
              <w:rPr>
                <w:rFonts w:hint="eastAsia" w:hAnsi="宋体" w:cs="Courier New"/>
                <w:b/>
                <w:bCs/>
                <w:color w:val="000000"/>
                <w:highlight w:val="none"/>
              </w:rPr>
              <w:t>总得分=1+2+3。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3"/>
              <w:spacing w:line="360" w:lineRule="auto"/>
              <w:ind w:firstLine="420"/>
              <w:rPr>
                <w:rFonts w:hint="eastAsia" w:hAnsi="宋体" w:cs="Courier New"/>
                <w:b/>
                <w:bCs/>
                <w:color w:val="000000"/>
                <w:highlight w:val="none"/>
              </w:rPr>
            </w:pPr>
          </w:p>
        </w:tc>
      </w:tr>
    </w:tbl>
    <w:p>
      <w:pPr>
        <w:pStyle w:val="3"/>
        <w:keepLines/>
        <w:spacing w:line="360" w:lineRule="auto"/>
        <w:ind w:firstLine="420"/>
        <w:rPr>
          <w:rFonts w:hint="eastAsia" w:hAnsi="宋体" w:eastAsia="宋体"/>
          <w:b/>
          <w:bCs w:val="0"/>
          <w:color w:val="000000"/>
          <w:highlight w:val="none"/>
          <w:lang w:eastAsia="zh-CN"/>
        </w:rPr>
      </w:pPr>
      <w:r>
        <w:rPr>
          <w:rFonts w:hint="eastAsia" w:hAnsi="宋体"/>
          <w:b/>
          <w:bCs w:val="0"/>
          <w:color w:val="000000"/>
          <w:highlight w:val="none"/>
        </w:rPr>
        <w:t>注：计分方法按四舍五入取至百分位</w:t>
      </w:r>
      <w:r>
        <w:rPr>
          <w:rFonts w:hint="eastAsia" w:hAnsi="宋体"/>
          <w:b/>
          <w:bCs w:val="0"/>
          <w:color w:val="000000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WVjMzZhOTYxYzQyNmY0YmI3MjNkZmU2YjZlY2EifQ=="/>
  </w:docVars>
  <w:rsids>
    <w:rsidRoot w:val="52B07F5D"/>
    <w:rsid w:val="0CB70EB5"/>
    <w:rsid w:val="128F71B2"/>
    <w:rsid w:val="165C4B2D"/>
    <w:rsid w:val="172AB1FE"/>
    <w:rsid w:val="21E1313B"/>
    <w:rsid w:val="22B017B6"/>
    <w:rsid w:val="2EC772F9"/>
    <w:rsid w:val="3A0F7DC2"/>
    <w:rsid w:val="52B07F5D"/>
    <w:rsid w:val="595F5C6F"/>
    <w:rsid w:val="598C1B51"/>
    <w:rsid w:val="5B335CED"/>
    <w:rsid w:val="5B7CA5F7"/>
    <w:rsid w:val="5D1C565F"/>
    <w:rsid w:val="5F026B9C"/>
    <w:rsid w:val="6B681E26"/>
    <w:rsid w:val="7E9DE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next w:val="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toc 1"/>
    <w:basedOn w:val="1"/>
    <w:next w:val="1"/>
    <w:qFormat/>
    <w:uiPriority w:val="0"/>
    <w:pPr>
      <w:spacing w:before="360" w:after="360"/>
      <w:jc w:val="left"/>
    </w:pPr>
    <w:rPr>
      <w:rFonts w:ascii="Calibri" w:hAnsi="Calibri" w:eastAsia="宋体" w:cs="Times New Roman"/>
      <w:b/>
      <w:bCs/>
      <w:caps/>
      <w:sz w:val="22"/>
      <w:szCs w:val="22"/>
      <w:u w:val="single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1108</Words>
  <Characters>1126</Characters>
  <Lines>0</Lines>
  <Paragraphs>0</Paragraphs>
  <TotalTime>3</TotalTime>
  <ScaleCrop>false</ScaleCrop>
  <LinksUpToDate>false</LinksUpToDate>
  <CharactersWithSpaces>1126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2024-04-15T16:26:00Z</dcterms:created>
  <dc:creator>Administrator</dc:creator>
  <cp:lastModifiedBy>慶</cp:lastModifiedBy>
  <dcterms:modified xsi:type="dcterms:W3CDTF">2025-06-12T15:59:15Z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220C268B16BA44A7BE8873AA3689898A_13</vt:lpwstr>
  </property>
  <property fmtid="{D5CDD505-2E9C-101B-9397-08002B2CF9AE}" pid="4" name="KSOTemplateDocerSaveRecord">
    <vt:lpwstr>eyJoZGlkIjoiNWE0YTk4Y2VjMWZmM2ZhNzJjYzJhNDU3N2ZhYzZhNTAiLCJ1c2VySWQiOiIzODY5ODE0NDQifQ==</vt:lpwstr>
  </property>
</Properties>
</file>