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page" w:tblpX="671" w:tblpY="930"/>
        <w:tblOverlap w:val="never"/>
        <w:tblW w:w="9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095"/>
        <w:gridCol w:w="1140"/>
        <w:gridCol w:w="6598"/>
      </w:tblGrid>
      <w:tr w14:paraId="5EB5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0" w:type="dxa"/>
            <w:shd w:val="clear" w:color="auto" w:fill="FFFFFF"/>
            <w:vAlign w:val="center"/>
          </w:tcPr>
          <w:p w14:paraId="7DC3E5F3">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项目</w:t>
            </w:r>
          </w:p>
        </w:tc>
        <w:tc>
          <w:tcPr>
            <w:tcW w:w="1095" w:type="dxa"/>
            <w:shd w:val="clear" w:color="auto" w:fill="FFFFFF"/>
            <w:vAlign w:val="center"/>
          </w:tcPr>
          <w:p w14:paraId="5F59A8F7">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分项名称</w:t>
            </w:r>
          </w:p>
        </w:tc>
        <w:tc>
          <w:tcPr>
            <w:tcW w:w="1140" w:type="dxa"/>
            <w:shd w:val="clear" w:color="auto" w:fill="FFFFFF"/>
            <w:vAlign w:val="center"/>
          </w:tcPr>
          <w:p w14:paraId="0DB3F828">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分值(分)</w:t>
            </w:r>
          </w:p>
        </w:tc>
        <w:tc>
          <w:tcPr>
            <w:tcW w:w="6598" w:type="dxa"/>
            <w:shd w:val="clear" w:color="auto" w:fill="FFFFFF"/>
            <w:vAlign w:val="center"/>
          </w:tcPr>
          <w:p w14:paraId="4C43C3A3">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评分标准</w:t>
            </w:r>
          </w:p>
        </w:tc>
      </w:tr>
      <w:tr w14:paraId="6DA1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140" w:type="dxa"/>
            <w:shd w:val="clear" w:color="auto" w:fill="FFFFFF"/>
            <w:vAlign w:val="center"/>
          </w:tcPr>
          <w:p w14:paraId="674E79BC">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价格部分</w:t>
            </w:r>
            <w:r>
              <w:rPr>
                <w:rStyle w:val="12"/>
                <w:rFonts w:hint="default"/>
                <w:lang w:bidi="ar"/>
              </w:rPr>
              <w:t>（30分）</w:t>
            </w:r>
          </w:p>
        </w:tc>
        <w:tc>
          <w:tcPr>
            <w:tcW w:w="1095" w:type="dxa"/>
            <w:shd w:val="clear" w:color="auto" w:fill="FFFFFF"/>
            <w:vAlign w:val="center"/>
          </w:tcPr>
          <w:p w14:paraId="48A11C67">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报价</w:t>
            </w:r>
          </w:p>
        </w:tc>
        <w:tc>
          <w:tcPr>
            <w:tcW w:w="1140" w:type="dxa"/>
            <w:shd w:val="clear" w:color="auto" w:fill="FFFFFF"/>
            <w:vAlign w:val="center"/>
          </w:tcPr>
          <w:p w14:paraId="67CB85F7">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30</w:t>
            </w:r>
          </w:p>
        </w:tc>
        <w:tc>
          <w:tcPr>
            <w:tcW w:w="6598" w:type="dxa"/>
            <w:shd w:val="clear" w:color="auto" w:fill="FFFFFF"/>
          </w:tcPr>
          <w:p w14:paraId="05DF39D0">
            <w:pPr>
              <w:widowControl/>
              <w:jc w:val="left"/>
              <w:textAlignment w:val="top"/>
              <w:rPr>
                <w:rFonts w:ascii="宋体" w:hAnsi="宋体" w:cs="宋体"/>
                <w:color w:val="000000"/>
                <w:szCs w:val="21"/>
              </w:rPr>
            </w:pPr>
            <w:r>
              <w:rPr>
                <w:rFonts w:hint="eastAsia" w:ascii="宋体" w:hAnsi="宋体" w:cs="宋体"/>
                <w:color w:val="000000"/>
                <w:kern w:val="0"/>
                <w:szCs w:val="21"/>
                <w:lang w:bidi="ar"/>
              </w:rPr>
              <w:t>评标基准价：系指满足招标文件要求且投标价格最低的投标报价。投标报价得分＝（评标基准价／投标报价）×30，得分保留至小数点后两位。</w:t>
            </w:r>
          </w:p>
          <w:p w14:paraId="5FB9954F">
            <w:pPr>
              <w:widowControl/>
              <w:textAlignment w:val="center"/>
              <w:rPr>
                <w:rFonts w:ascii="宋体" w:hAnsi="宋体" w:cs="宋体"/>
                <w:color w:val="000000"/>
                <w:szCs w:val="21"/>
                <w:lang w:bidi="ar"/>
              </w:rPr>
            </w:pPr>
          </w:p>
        </w:tc>
      </w:tr>
      <w:tr w14:paraId="2EED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140" w:type="dxa"/>
            <w:vMerge w:val="restart"/>
            <w:shd w:val="clear" w:color="auto" w:fill="FFFFFF"/>
            <w:vAlign w:val="center"/>
          </w:tcPr>
          <w:p w14:paraId="615EC08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商务部分（</w:t>
            </w:r>
            <w:r>
              <w:rPr>
                <w:rFonts w:hint="eastAsia" w:ascii="宋体" w:hAnsi="宋体" w:cs="宋体"/>
                <w:color w:val="000000"/>
                <w:kern w:val="0"/>
                <w:szCs w:val="21"/>
                <w:lang w:val="en-US" w:eastAsia="zh-CN" w:bidi="ar"/>
              </w:rPr>
              <w:t>25</w:t>
            </w:r>
            <w:r>
              <w:rPr>
                <w:rFonts w:hint="eastAsia" w:ascii="宋体" w:hAnsi="宋体" w:cs="宋体"/>
                <w:color w:val="000000"/>
                <w:kern w:val="0"/>
                <w:szCs w:val="21"/>
                <w:lang w:bidi="ar"/>
              </w:rPr>
              <w:t>分）</w:t>
            </w:r>
          </w:p>
        </w:tc>
        <w:tc>
          <w:tcPr>
            <w:tcW w:w="1095" w:type="dxa"/>
            <w:shd w:val="clear" w:color="auto" w:fill="FFFFFF"/>
            <w:vAlign w:val="center"/>
          </w:tcPr>
          <w:p w14:paraId="6770848B">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业绩</w:t>
            </w:r>
          </w:p>
        </w:tc>
        <w:tc>
          <w:tcPr>
            <w:tcW w:w="1140" w:type="dxa"/>
            <w:shd w:val="clear" w:color="auto" w:fill="FFFFFF"/>
            <w:vAlign w:val="center"/>
          </w:tcPr>
          <w:p w14:paraId="4270C7CF">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w:t>
            </w:r>
          </w:p>
        </w:tc>
        <w:tc>
          <w:tcPr>
            <w:tcW w:w="6598" w:type="dxa"/>
            <w:shd w:val="clear" w:color="auto" w:fill="FFFFFF"/>
            <w:vAlign w:val="center"/>
          </w:tcPr>
          <w:p w14:paraId="5FC44A51">
            <w:pPr>
              <w:widowControl/>
              <w:numPr>
                <w:ilvl w:val="0"/>
                <w:numId w:val="0"/>
              </w:numPr>
              <w:textAlignment w:val="center"/>
              <w:rPr>
                <w:rStyle w:val="12"/>
                <w:rFonts w:hint="default"/>
                <w:lang w:bidi="ar"/>
              </w:rPr>
            </w:pPr>
            <w:r>
              <w:rPr>
                <w:rStyle w:val="12"/>
                <w:rFonts w:hint="default"/>
                <w:lang w:bidi="ar"/>
              </w:rPr>
              <w:t>投标人或所投产品厂商具有医保药品耗材追溯码全流程管理相关系统建设经验的，</w:t>
            </w:r>
            <w:r>
              <w:rPr>
                <w:rStyle w:val="12"/>
                <w:rFonts w:hint="eastAsia"/>
                <w:lang w:val="en-US" w:eastAsia="zh-CN" w:bidi="ar"/>
              </w:rPr>
              <w:t>最高</w:t>
            </w:r>
            <w:r>
              <w:rPr>
                <w:rStyle w:val="12"/>
                <w:rFonts w:hint="default"/>
                <w:lang w:bidi="ar"/>
              </w:rPr>
              <w:t>得</w:t>
            </w:r>
            <w:r>
              <w:rPr>
                <w:rStyle w:val="12"/>
                <w:rFonts w:hint="eastAsia"/>
                <w:lang w:val="en-US" w:eastAsia="zh-CN" w:bidi="ar"/>
              </w:rPr>
              <w:t>5</w:t>
            </w:r>
            <w:r>
              <w:rPr>
                <w:rStyle w:val="12"/>
                <w:rFonts w:hint="default"/>
                <w:lang w:bidi="ar"/>
              </w:rPr>
              <w:t>分。</w:t>
            </w:r>
          </w:p>
          <w:p w14:paraId="4E5AD6D3">
            <w:pPr>
              <w:widowControl/>
              <w:numPr>
                <w:ilvl w:val="0"/>
                <w:numId w:val="0"/>
              </w:numPr>
              <w:textAlignment w:val="center"/>
              <w:rPr>
                <w:rStyle w:val="12"/>
                <w:rFonts w:hint="eastAsia"/>
                <w:b w:val="0"/>
                <w:bCs w:val="0"/>
                <w:kern w:val="2"/>
                <w:lang w:val="en-US" w:eastAsia="zh-CN" w:bidi="ar"/>
              </w:rPr>
            </w:pPr>
            <w:r>
              <w:rPr>
                <w:rStyle w:val="12"/>
                <w:rFonts w:hint="eastAsia"/>
                <w:b w:val="0"/>
                <w:bCs w:val="0"/>
                <w:kern w:val="2"/>
                <w:lang w:val="en-US" w:eastAsia="zh-CN" w:bidi="ar"/>
              </w:rPr>
              <w:t>每项2分，共5分（提供中标（成交）通知书或合同复印件）。</w:t>
            </w:r>
          </w:p>
          <w:p w14:paraId="16CEC20A">
            <w:pPr>
              <w:widowControl/>
              <w:textAlignment w:val="center"/>
              <w:rPr>
                <w:rFonts w:hint="eastAsia" w:ascii="宋体" w:hAnsi="宋体" w:eastAsia="宋体" w:cs="宋体"/>
                <w:color w:val="000000"/>
                <w:kern w:val="0"/>
                <w:szCs w:val="21"/>
                <w:lang w:val="en-US" w:eastAsia="zh-CN" w:bidi="ar"/>
              </w:rPr>
            </w:pPr>
            <w:r>
              <w:rPr>
                <w:rStyle w:val="12"/>
                <w:rFonts w:hint="eastAsia"/>
                <w:b w:val="0"/>
                <w:bCs w:val="0"/>
                <w:kern w:val="2"/>
                <w:lang w:val="en-US" w:eastAsia="zh-CN" w:bidi="ar"/>
              </w:rPr>
              <w:t>不提供业绩不得分</w:t>
            </w:r>
          </w:p>
        </w:tc>
      </w:tr>
      <w:tr w14:paraId="2470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140" w:type="dxa"/>
            <w:vMerge w:val="continue"/>
            <w:tcBorders/>
            <w:shd w:val="clear" w:color="auto" w:fill="FFFFFF"/>
            <w:vAlign w:val="center"/>
          </w:tcPr>
          <w:p w14:paraId="78F832DD">
            <w:pPr>
              <w:widowControl/>
              <w:jc w:val="center"/>
              <w:textAlignment w:val="center"/>
              <w:rPr>
                <w:rFonts w:ascii="宋体" w:hAnsi="宋体" w:cs="宋体"/>
                <w:color w:val="000000"/>
                <w:szCs w:val="21"/>
              </w:rPr>
            </w:pPr>
          </w:p>
        </w:tc>
        <w:tc>
          <w:tcPr>
            <w:tcW w:w="1095" w:type="dxa"/>
            <w:shd w:val="clear" w:color="auto" w:fill="FFFFFF"/>
            <w:vAlign w:val="center"/>
          </w:tcPr>
          <w:p w14:paraId="64C4436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售后服务</w:t>
            </w:r>
          </w:p>
        </w:tc>
        <w:tc>
          <w:tcPr>
            <w:tcW w:w="1140" w:type="dxa"/>
            <w:shd w:val="clear" w:color="auto" w:fill="FFFFFF"/>
            <w:vAlign w:val="center"/>
          </w:tcPr>
          <w:p w14:paraId="585A3DF3">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20</w:t>
            </w:r>
          </w:p>
        </w:tc>
        <w:tc>
          <w:tcPr>
            <w:tcW w:w="6598" w:type="dxa"/>
            <w:shd w:val="clear" w:color="auto" w:fill="FFFFFF"/>
            <w:vAlign w:val="center"/>
          </w:tcPr>
          <w:p w14:paraId="1F7D9AF3">
            <w:pPr>
              <w:widowControl/>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一档（</w:t>
            </w:r>
            <w:r>
              <w:rPr>
                <w:rFonts w:hint="eastAsia" w:ascii="宋体" w:hAnsi="宋体" w:eastAsia="宋体" w:cs="宋体"/>
                <w:color w:val="000000"/>
                <w:kern w:val="0"/>
                <w:szCs w:val="21"/>
                <w:lang w:val="en-US" w:eastAsia="zh-CN" w:bidi="ar"/>
              </w:rPr>
              <w:t>4</w:t>
            </w:r>
            <w:r>
              <w:rPr>
                <w:rFonts w:hint="eastAsia" w:ascii="宋体" w:hAnsi="宋体" w:eastAsia="宋体" w:cs="宋体"/>
                <w:color w:val="000000"/>
                <w:kern w:val="0"/>
                <w:szCs w:val="21"/>
                <w:lang w:bidi="ar"/>
              </w:rPr>
              <w:t>分）：接故障通知4小时内作出维修方案，一般问题在3小时内通过远程方式解决；遇到重大故障，在接到故障通知后3小时内派技术人员到达现场维修；重大故障修复时间72小时内，一般故障时间4～12小时。货物不能及时恢复的，须提供同型号的备品更换，不影响采购人的使用。</w:t>
            </w:r>
          </w:p>
          <w:p w14:paraId="25F2B134">
            <w:pPr>
              <w:widowControl/>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二档（</w:t>
            </w:r>
            <w:r>
              <w:rPr>
                <w:rFonts w:hint="eastAsia" w:ascii="宋体" w:hAnsi="宋体" w:eastAsia="宋体" w:cs="宋体"/>
                <w:color w:val="000000"/>
                <w:kern w:val="0"/>
                <w:szCs w:val="21"/>
                <w:lang w:val="en-US" w:eastAsia="zh-CN" w:bidi="ar"/>
              </w:rPr>
              <w:t>8</w:t>
            </w:r>
            <w:r>
              <w:rPr>
                <w:rFonts w:hint="eastAsia" w:ascii="宋体" w:hAnsi="宋体" w:eastAsia="宋体" w:cs="宋体"/>
                <w:color w:val="000000"/>
                <w:kern w:val="0"/>
                <w:szCs w:val="21"/>
                <w:lang w:bidi="ar"/>
              </w:rPr>
              <w:t>分）：接故障通知3小时内作出维修方案，一般问题在2小时内通过远程方式解决；遇到重大故障，在接到故障通知后3小时内派技术人员到达现场维修；重大故障修复时间60小时内，一般故障时间4～12小时。货物不能及时恢复的，须提供同型号的备品更换，不影响采购人的使用。</w:t>
            </w:r>
          </w:p>
          <w:p w14:paraId="1CD8CBF0">
            <w:pPr>
              <w:widowControl/>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三档（</w:t>
            </w:r>
            <w:r>
              <w:rPr>
                <w:rFonts w:hint="eastAsia" w:ascii="宋体" w:hAnsi="宋体" w:eastAsia="宋体" w:cs="宋体"/>
                <w:color w:val="000000"/>
                <w:kern w:val="0"/>
                <w:szCs w:val="21"/>
                <w:lang w:val="en-US" w:eastAsia="zh-CN" w:bidi="ar"/>
              </w:rPr>
              <w:t>12</w:t>
            </w:r>
            <w:r>
              <w:rPr>
                <w:rFonts w:hint="eastAsia" w:ascii="宋体" w:hAnsi="宋体" w:eastAsia="宋体" w:cs="宋体"/>
                <w:color w:val="000000"/>
                <w:kern w:val="0"/>
                <w:szCs w:val="21"/>
                <w:lang w:bidi="ar"/>
              </w:rPr>
              <w:t>分）：满足招标文件售后服务要求，售后服务框架内容完整，服务体系完整。接故障通知2小时内作出维修方案，一般问题在2小时内通过远程方式解决；遇到重大故障，在接到故障通知后3小时内派技术人员到达现场维修；重大故障修复时间48小时内，一般故障时间4～12小时。货物不能及时恢复的，须提供同型号的备品更换，不影响采购人的使用。</w:t>
            </w:r>
          </w:p>
          <w:p w14:paraId="4CFFE4D3">
            <w:pPr>
              <w:widowControl/>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四档（1</w:t>
            </w:r>
            <w:r>
              <w:rPr>
                <w:rFonts w:hint="eastAsia" w:ascii="宋体" w:hAnsi="宋体" w:eastAsia="宋体" w:cs="宋体"/>
                <w:color w:val="000000"/>
                <w:kern w:val="0"/>
                <w:szCs w:val="21"/>
                <w:lang w:val="en-US" w:eastAsia="zh-CN" w:bidi="ar"/>
              </w:rPr>
              <w:t>6</w:t>
            </w:r>
            <w:r>
              <w:rPr>
                <w:rFonts w:hint="eastAsia" w:ascii="宋体" w:hAnsi="宋体" w:eastAsia="宋体" w:cs="宋体"/>
                <w:color w:val="000000"/>
                <w:kern w:val="0"/>
                <w:szCs w:val="21"/>
                <w:lang w:bidi="ar"/>
              </w:rPr>
              <w:t>分）：满足招标文</w:t>
            </w:r>
            <w:bookmarkStart w:id="0" w:name="_GoBack"/>
            <w:bookmarkEnd w:id="0"/>
            <w:r>
              <w:rPr>
                <w:rFonts w:hint="eastAsia" w:ascii="宋体" w:hAnsi="宋体" w:eastAsia="宋体" w:cs="宋体"/>
                <w:color w:val="000000"/>
                <w:kern w:val="0"/>
                <w:szCs w:val="21"/>
                <w:lang w:bidi="ar"/>
              </w:rPr>
              <w:t>件售后服务要求，售后服务方案完整，有服务响应体系，定期维护，接故障通知1小时内作出维修方案，一般问题在1小时内通过远程方式解决；遇到重大故障，在接到故障通知后3小时内派技术人员到达现场维修；重大故障修复时间24小时内，一般故障时间4～12小时。货物不能及时恢复的，须提供同型号的备品更换，不影响采购人的使用。质保期后，有具体的偿维护方式、服务范围及费用等方案。</w:t>
            </w:r>
          </w:p>
          <w:p w14:paraId="77FAC5F2">
            <w:pPr>
              <w:widowControl/>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五档（</w:t>
            </w:r>
            <w:r>
              <w:rPr>
                <w:rFonts w:hint="eastAsia" w:ascii="宋体" w:hAnsi="宋体" w:eastAsia="宋体" w:cs="宋体"/>
                <w:color w:val="000000"/>
                <w:kern w:val="0"/>
                <w:szCs w:val="21"/>
                <w:lang w:val="en-US" w:eastAsia="zh-CN" w:bidi="ar"/>
              </w:rPr>
              <w:t>20</w:t>
            </w:r>
            <w:r>
              <w:rPr>
                <w:rFonts w:hint="eastAsia" w:ascii="宋体" w:hAnsi="宋体" w:eastAsia="宋体" w:cs="宋体"/>
                <w:color w:val="000000"/>
                <w:kern w:val="0"/>
                <w:szCs w:val="21"/>
                <w:lang w:bidi="ar"/>
              </w:rPr>
              <w:t>分）：满足招标文件售后服务要求，售后服务方案具体，有完整的服务响应体系，定期维护，项目回访计划，售后团队，且结合医院实际要求实施，接故障通知1小时内作出维修方案，一般问题在1小时内通过远程方式解决；遇到重大故障，在接到故障通知后3小时内派技术人员到达现场维修；重大故障修复时间24小时内，一般故障时间4～12小时。货物不能及时恢复的，须提供同型号的备品更换，不影响采购人的使用。质保期后，备品备件及易耗品、耗材更换优惠折扣率的，有具体的偿维护方式、服务范围及费用等方案。</w:t>
            </w:r>
          </w:p>
          <w:p w14:paraId="3D622404">
            <w:pPr>
              <w:widowControl/>
              <w:textAlignment w:val="center"/>
              <w:rPr>
                <w:rFonts w:hint="default" w:ascii="宋体" w:hAnsi="宋体" w:eastAsia="宋体" w:cs="宋体"/>
                <w:szCs w:val="21"/>
                <w:lang w:val="en-US" w:eastAsia="zh-CN"/>
              </w:rPr>
            </w:pPr>
            <w:r>
              <w:rPr>
                <w:rFonts w:hint="eastAsia" w:ascii="宋体" w:hAnsi="宋体" w:eastAsia="宋体" w:cs="宋体"/>
                <w:color w:val="000000"/>
                <w:kern w:val="0"/>
                <w:szCs w:val="21"/>
                <w:lang w:val="en-US" w:eastAsia="zh-CN" w:bidi="ar"/>
              </w:rPr>
              <w:t>不提供售后服务方案的不得分。</w:t>
            </w:r>
          </w:p>
        </w:tc>
      </w:tr>
      <w:tr w14:paraId="7389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40" w:type="dxa"/>
            <w:vMerge w:val="restart"/>
            <w:shd w:val="clear" w:color="auto" w:fill="FFFFFF"/>
            <w:vAlign w:val="center"/>
          </w:tcPr>
          <w:p w14:paraId="7EC06CF7">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技术部分（</w:t>
            </w:r>
            <w:r>
              <w:rPr>
                <w:rFonts w:hint="eastAsia" w:ascii="宋体" w:hAnsi="宋体" w:cs="宋体"/>
                <w:color w:val="000000"/>
                <w:kern w:val="0"/>
                <w:szCs w:val="21"/>
                <w:lang w:val="en-US" w:eastAsia="zh-CN" w:bidi="ar"/>
              </w:rPr>
              <w:t>45</w:t>
            </w:r>
            <w:r>
              <w:rPr>
                <w:rFonts w:hint="eastAsia" w:ascii="宋体" w:hAnsi="宋体" w:cs="宋体"/>
                <w:color w:val="000000"/>
                <w:kern w:val="0"/>
                <w:szCs w:val="21"/>
                <w:lang w:bidi="ar"/>
              </w:rPr>
              <w:t>分）</w:t>
            </w:r>
          </w:p>
        </w:tc>
        <w:tc>
          <w:tcPr>
            <w:tcW w:w="1095" w:type="dxa"/>
            <w:shd w:val="clear" w:color="auto" w:fill="FFFFFF"/>
            <w:vAlign w:val="center"/>
          </w:tcPr>
          <w:p w14:paraId="37213A17">
            <w:pPr>
              <w:widowControl/>
              <w:jc w:val="center"/>
              <w:textAlignment w:val="center"/>
              <w:rPr>
                <w:rFonts w:ascii="宋体" w:hAnsi="宋体" w:cs="宋体"/>
                <w:color w:val="000000"/>
                <w:kern w:val="0"/>
                <w:szCs w:val="21"/>
                <w:lang w:bidi="ar"/>
              </w:rPr>
            </w:pPr>
            <w:r>
              <w:rPr>
                <w:rFonts w:hint="eastAsia"/>
                <w:sz w:val="21"/>
                <w:szCs w:val="21"/>
              </w:rPr>
              <w:t>技术方案</w:t>
            </w:r>
          </w:p>
        </w:tc>
        <w:tc>
          <w:tcPr>
            <w:tcW w:w="1140" w:type="dxa"/>
            <w:shd w:val="clear" w:color="auto" w:fill="FFFFFF"/>
            <w:vAlign w:val="center"/>
          </w:tcPr>
          <w:p w14:paraId="10BE4FA9">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15</w:t>
            </w:r>
          </w:p>
        </w:tc>
        <w:tc>
          <w:tcPr>
            <w:tcW w:w="6598" w:type="dxa"/>
            <w:shd w:val="clear" w:color="auto" w:fill="FFFFFF"/>
          </w:tcPr>
          <w:p w14:paraId="6920FDF9">
            <w:pPr>
              <w:widowControl/>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bidi="ar"/>
              </w:rPr>
              <w:t>由评委根据技术方案的完整性、可行性等内容进行评定并在相应档次内独立打分</w:t>
            </w: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不提供不得分。</w:t>
            </w:r>
          </w:p>
          <w:p w14:paraId="6DD4B89E">
            <w:pPr>
              <w:widowControl/>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一档</w:t>
            </w: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分)：投标人提供的项目技术方案较浅显，综合评定能部分满足招标文件项目技术要求。</w:t>
            </w:r>
          </w:p>
          <w:p w14:paraId="04774756">
            <w:pPr>
              <w:widowControl/>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二</w:t>
            </w:r>
            <w:r>
              <w:rPr>
                <w:rFonts w:hint="eastAsia" w:ascii="宋体" w:hAnsi="宋体" w:cs="宋体"/>
                <w:color w:val="000000"/>
                <w:kern w:val="0"/>
                <w:szCs w:val="21"/>
                <w:lang w:bidi="ar"/>
              </w:rPr>
              <w:t>档(</w:t>
            </w: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 xml:space="preserve"> 分)：投标人提供的项目技术方案简单，对总体需求理解不全，综合评定能部分满足招标文件项目技术要求。</w:t>
            </w:r>
          </w:p>
          <w:p w14:paraId="607AD0FF">
            <w:pPr>
              <w:widowControl/>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三</w:t>
            </w:r>
            <w:r>
              <w:rPr>
                <w:rFonts w:hint="eastAsia" w:ascii="宋体" w:hAnsi="宋体" w:cs="宋体"/>
                <w:color w:val="000000"/>
                <w:kern w:val="0"/>
                <w:szCs w:val="21"/>
                <w:lang w:bidi="ar"/>
              </w:rPr>
              <w:t>档(</w:t>
            </w:r>
            <w:r>
              <w:rPr>
                <w:rFonts w:hint="eastAsia" w:ascii="宋体" w:hAnsi="宋体" w:cs="宋体"/>
                <w:color w:val="000000"/>
                <w:kern w:val="0"/>
                <w:szCs w:val="21"/>
                <w:lang w:val="en-US" w:eastAsia="zh-CN" w:bidi="ar"/>
              </w:rPr>
              <w:t>15</w:t>
            </w:r>
            <w:r>
              <w:rPr>
                <w:rFonts w:hint="eastAsia" w:ascii="宋体" w:hAnsi="宋体" w:cs="宋体"/>
                <w:color w:val="000000"/>
                <w:kern w:val="0"/>
                <w:szCs w:val="21"/>
                <w:lang w:bidi="ar"/>
              </w:rPr>
              <w:t>分)：投标人提供的项目技术方案详细、可行，满足本项目服务需求，项目技术方案具有一定的稳定性和安全性，能保障业务系统基本不受影响，对总体需求理解全面，综合评定能</w:t>
            </w:r>
            <w:r>
              <w:rPr>
                <w:rFonts w:hint="eastAsia" w:ascii="宋体" w:hAnsi="宋体" w:cs="宋体"/>
                <w:color w:val="000000"/>
                <w:kern w:val="0"/>
                <w:szCs w:val="21"/>
                <w:lang w:val="en-US" w:eastAsia="zh-CN" w:bidi="ar"/>
              </w:rPr>
              <w:t>完全</w:t>
            </w:r>
            <w:r>
              <w:rPr>
                <w:rFonts w:hint="eastAsia" w:ascii="宋体" w:hAnsi="宋体" w:cs="宋体"/>
                <w:color w:val="000000"/>
                <w:kern w:val="0"/>
                <w:szCs w:val="21"/>
                <w:lang w:bidi="ar"/>
              </w:rPr>
              <w:t>满足招标文件项目技术要求。</w:t>
            </w:r>
          </w:p>
        </w:tc>
      </w:tr>
      <w:tr w14:paraId="0C4F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40" w:type="dxa"/>
            <w:vMerge w:val="continue"/>
            <w:shd w:val="clear" w:color="auto" w:fill="FFFFFF"/>
            <w:vAlign w:val="center"/>
          </w:tcPr>
          <w:p w14:paraId="60DAAFA7">
            <w:pPr>
              <w:widowControl/>
              <w:jc w:val="center"/>
              <w:textAlignment w:val="center"/>
              <w:rPr>
                <w:rFonts w:ascii="宋体" w:hAnsi="宋体" w:cs="宋体"/>
                <w:color w:val="000000"/>
                <w:kern w:val="0"/>
                <w:szCs w:val="21"/>
                <w:lang w:bidi="ar"/>
              </w:rPr>
            </w:pPr>
          </w:p>
        </w:tc>
        <w:tc>
          <w:tcPr>
            <w:tcW w:w="1095" w:type="dxa"/>
            <w:shd w:val="clear" w:color="auto" w:fill="FFFFFF"/>
            <w:vAlign w:val="center"/>
          </w:tcPr>
          <w:p w14:paraId="40917455">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产品性能</w:t>
            </w:r>
          </w:p>
        </w:tc>
        <w:tc>
          <w:tcPr>
            <w:tcW w:w="1140" w:type="dxa"/>
            <w:shd w:val="clear" w:color="auto" w:fill="FFFFFF"/>
            <w:vAlign w:val="center"/>
          </w:tcPr>
          <w:p w14:paraId="2728B27A">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12</w:t>
            </w:r>
          </w:p>
        </w:tc>
        <w:tc>
          <w:tcPr>
            <w:tcW w:w="6598" w:type="dxa"/>
            <w:shd w:val="clear" w:color="auto" w:fill="FFFFFF"/>
            <w:vAlign w:val="center"/>
          </w:tcPr>
          <w:p w14:paraId="15983C54">
            <w:pPr>
              <w:widowControl/>
              <w:jc w:val="left"/>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bidi="ar"/>
              </w:rPr>
              <w:t>根据供应商提供的</w:t>
            </w:r>
            <w:r>
              <w:rPr>
                <w:rFonts w:hint="eastAsia" w:ascii="宋体" w:hAnsi="宋体" w:cs="宋体"/>
                <w:color w:val="000000"/>
                <w:kern w:val="0"/>
                <w:szCs w:val="21"/>
                <w:lang w:val="en-US" w:eastAsia="zh-CN" w:bidi="ar"/>
              </w:rPr>
              <w:t>产品技术是否符合</w:t>
            </w:r>
            <w:r>
              <w:rPr>
                <w:rFonts w:hint="eastAsia" w:ascii="宋体" w:hAnsi="宋体" w:cs="宋体"/>
                <w:color w:val="000000"/>
                <w:kern w:val="0"/>
                <w:szCs w:val="21"/>
                <w:lang w:bidi="ar"/>
              </w:rPr>
              <w:t>采购需求表的实质性技术参数及功能</w:t>
            </w:r>
            <w:r>
              <w:rPr>
                <w:rFonts w:hint="eastAsia" w:ascii="宋体" w:hAnsi="宋体" w:cs="宋体"/>
                <w:color w:val="000000"/>
                <w:kern w:val="0"/>
                <w:szCs w:val="21"/>
                <w:lang w:val="en-US" w:eastAsia="zh-CN" w:bidi="ar"/>
              </w:rPr>
              <w:t>评分，不提供或者关键参数不满足采购需求不得分。</w:t>
            </w:r>
          </w:p>
          <w:p w14:paraId="54A952D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highlight w:val="none"/>
                <w:lang w:val="en-US" w:eastAsia="zh-CN"/>
              </w:rPr>
            </w:pPr>
            <w:r>
              <w:rPr>
                <w:rFonts w:hint="eastAsia" w:ascii="宋体" w:hAnsi="宋体" w:eastAsia="宋体" w:cs="宋体"/>
                <w:highlight w:val="none"/>
              </w:rPr>
              <w:t>一档（</w:t>
            </w:r>
            <w:r>
              <w:rPr>
                <w:rFonts w:hint="eastAsia" w:ascii="宋体" w:hAnsi="宋体" w:cs="宋体"/>
                <w:highlight w:val="none"/>
                <w:lang w:val="en-US" w:eastAsia="zh-CN"/>
              </w:rPr>
              <w:t>3</w:t>
            </w:r>
            <w:r>
              <w:rPr>
                <w:rFonts w:hint="eastAsia" w:ascii="宋体" w:hAnsi="宋体" w:eastAsia="宋体" w:cs="宋体"/>
                <w:highlight w:val="none"/>
              </w:rPr>
              <w:t>分）：</w:t>
            </w:r>
            <w:r>
              <w:rPr>
                <w:rFonts w:hint="eastAsia" w:ascii="宋体" w:hAnsi="宋体" w:eastAsia="宋体" w:cs="宋体"/>
                <w:highlight w:val="none"/>
                <w:lang w:val="en-US" w:eastAsia="zh-CN"/>
              </w:rPr>
              <w:t>除关键参数须满足采购方需求外，其他</w:t>
            </w:r>
            <w:r>
              <w:rPr>
                <w:rFonts w:hint="eastAsia" w:ascii="宋体" w:hAnsi="宋体" w:eastAsia="宋体" w:cs="宋体"/>
                <w:highlight w:val="none"/>
              </w:rPr>
              <w:t>产品的技术参数</w:t>
            </w:r>
            <w:r>
              <w:rPr>
                <w:rFonts w:hint="eastAsia" w:ascii="宋体" w:hAnsi="宋体" w:eastAsia="宋体" w:cs="宋体"/>
                <w:highlight w:val="none"/>
                <w:lang w:val="en-US" w:eastAsia="zh-CN"/>
              </w:rPr>
              <w:t>不能</w:t>
            </w:r>
            <w:r>
              <w:rPr>
                <w:rFonts w:hint="eastAsia" w:ascii="宋体" w:hAnsi="宋体" w:eastAsia="宋体" w:cs="宋体"/>
                <w:highlight w:val="none"/>
              </w:rPr>
              <w:t>满足采购文件要求；</w:t>
            </w:r>
          </w:p>
          <w:p w14:paraId="7C1E4D0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highlight w:val="none"/>
                <w:lang w:eastAsia="zh-CN"/>
              </w:rPr>
            </w:pPr>
            <w:r>
              <w:rPr>
                <w:rFonts w:hint="eastAsia" w:ascii="宋体" w:hAnsi="宋体" w:eastAsia="宋体" w:cs="宋体"/>
                <w:highlight w:val="none"/>
              </w:rPr>
              <w:t>二档（</w:t>
            </w:r>
            <w:r>
              <w:rPr>
                <w:rFonts w:hint="eastAsia" w:ascii="宋体" w:hAnsi="宋体" w:cs="宋体"/>
                <w:highlight w:val="none"/>
                <w:lang w:val="en-US" w:eastAsia="zh-CN"/>
              </w:rPr>
              <w:t>4</w:t>
            </w:r>
            <w:r>
              <w:rPr>
                <w:rFonts w:hint="eastAsia" w:ascii="宋体" w:hAnsi="宋体" w:eastAsia="宋体" w:cs="宋体"/>
                <w:highlight w:val="none"/>
              </w:rPr>
              <w:t>分）：</w:t>
            </w:r>
            <w:r>
              <w:rPr>
                <w:rFonts w:hint="eastAsia" w:ascii="宋体" w:hAnsi="宋体" w:eastAsia="宋体" w:cs="宋体"/>
                <w:highlight w:val="none"/>
                <w:lang w:val="en-US" w:eastAsia="zh-CN"/>
              </w:rPr>
              <w:t>除关键参数须满足采购方需求外，其他</w:t>
            </w:r>
            <w:r>
              <w:rPr>
                <w:rFonts w:hint="eastAsia" w:ascii="宋体" w:hAnsi="宋体" w:eastAsia="宋体" w:cs="宋体"/>
                <w:highlight w:val="none"/>
              </w:rPr>
              <w:t>产品的技术参数</w:t>
            </w:r>
            <w:r>
              <w:rPr>
                <w:rFonts w:hint="eastAsia" w:ascii="宋体" w:hAnsi="宋体" w:eastAsia="宋体" w:cs="宋体"/>
                <w:highlight w:val="none"/>
                <w:lang w:val="en-US" w:eastAsia="zh-CN"/>
              </w:rPr>
              <w:t>基本</w:t>
            </w:r>
            <w:r>
              <w:rPr>
                <w:rFonts w:hint="eastAsia" w:ascii="宋体" w:hAnsi="宋体" w:eastAsia="宋体" w:cs="宋体"/>
                <w:highlight w:val="none"/>
              </w:rPr>
              <w:t>满足采购文件要求</w:t>
            </w:r>
            <w:r>
              <w:rPr>
                <w:rFonts w:hint="eastAsia" w:ascii="宋体" w:hAnsi="宋体" w:cs="宋体"/>
                <w:highlight w:val="none"/>
                <w:lang w:eastAsia="zh-CN"/>
              </w:rPr>
              <w:t>；</w:t>
            </w:r>
          </w:p>
          <w:p w14:paraId="67330F0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lang w:bidi="ar"/>
              </w:rPr>
            </w:pPr>
            <w:r>
              <w:rPr>
                <w:rFonts w:hint="eastAsia" w:ascii="宋体" w:hAnsi="宋体" w:cs="宋体"/>
                <w:highlight w:val="none"/>
                <w:lang w:val="en-US" w:eastAsia="zh-CN"/>
              </w:rPr>
              <w:t>三</w:t>
            </w:r>
            <w:r>
              <w:rPr>
                <w:rFonts w:hint="eastAsia" w:ascii="宋体" w:hAnsi="宋体" w:eastAsia="宋体" w:cs="宋体"/>
                <w:highlight w:val="none"/>
              </w:rPr>
              <w:t>档（</w:t>
            </w:r>
            <w:r>
              <w:rPr>
                <w:rFonts w:hint="eastAsia" w:ascii="宋体" w:hAnsi="宋体" w:cs="宋体"/>
                <w:highlight w:val="none"/>
                <w:lang w:val="en-US" w:eastAsia="zh-CN"/>
              </w:rPr>
              <w:t>12</w:t>
            </w:r>
            <w:r>
              <w:rPr>
                <w:rFonts w:hint="eastAsia" w:ascii="宋体" w:hAnsi="宋体" w:eastAsia="宋体" w:cs="宋体"/>
                <w:highlight w:val="none"/>
              </w:rPr>
              <w:t>分）：</w:t>
            </w:r>
            <w:r>
              <w:rPr>
                <w:rFonts w:hint="eastAsia" w:ascii="宋体" w:hAnsi="宋体" w:eastAsia="宋体" w:cs="宋体"/>
                <w:highlight w:val="none"/>
                <w:lang w:val="en-US" w:eastAsia="zh-CN"/>
              </w:rPr>
              <w:t>除关键参数须满足采购方需求外，其他</w:t>
            </w:r>
            <w:r>
              <w:rPr>
                <w:rFonts w:hint="eastAsia" w:ascii="宋体" w:hAnsi="宋体" w:eastAsia="宋体" w:cs="宋体"/>
                <w:highlight w:val="none"/>
              </w:rPr>
              <w:t>产品的技术参数</w:t>
            </w:r>
            <w:r>
              <w:rPr>
                <w:rFonts w:hint="eastAsia" w:ascii="宋体" w:hAnsi="宋体" w:cs="宋体"/>
                <w:highlight w:val="none"/>
                <w:lang w:val="en-US" w:eastAsia="zh-CN"/>
              </w:rPr>
              <w:t>优于</w:t>
            </w:r>
            <w:r>
              <w:rPr>
                <w:rFonts w:hint="eastAsia" w:ascii="宋体" w:hAnsi="宋体" w:eastAsia="宋体" w:cs="宋体"/>
                <w:highlight w:val="none"/>
              </w:rPr>
              <w:t>采购文件要求。</w:t>
            </w:r>
          </w:p>
        </w:tc>
      </w:tr>
      <w:tr w14:paraId="6B8B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40" w:type="dxa"/>
            <w:vMerge w:val="continue"/>
            <w:shd w:val="clear" w:color="auto" w:fill="FFFFFF"/>
            <w:vAlign w:val="center"/>
          </w:tcPr>
          <w:p w14:paraId="55303339">
            <w:pPr>
              <w:widowControl/>
              <w:jc w:val="center"/>
              <w:textAlignment w:val="center"/>
              <w:rPr>
                <w:rFonts w:ascii="宋体" w:hAnsi="宋体" w:cs="宋体"/>
                <w:color w:val="000000"/>
                <w:kern w:val="0"/>
                <w:szCs w:val="21"/>
                <w:lang w:bidi="ar"/>
              </w:rPr>
            </w:pPr>
          </w:p>
        </w:tc>
        <w:tc>
          <w:tcPr>
            <w:tcW w:w="1095" w:type="dxa"/>
            <w:shd w:val="clear" w:color="auto" w:fill="FFFFFF"/>
            <w:vAlign w:val="center"/>
          </w:tcPr>
          <w:p w14:paraId="3529F8F6">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应急保障方案</w:t>
            </w:r>
          </w:p>
        </w:tc>
        <w:tc>
          <w:tcPr>
            <w:tcW w:w="1140" w:type="dxa"/>
            <w:shd w:val="clear" w:color="auto" w:fill="FFFFFF"/>
            <w:vAlign w:val="center"/>
          </w:tcPr>
          <w:p w14:paraId="2640B462">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9</w:t>
            </w:r>
          </w:p>
        </w:tc>
        <w:tc>
          <w:tcPr>
            <w:tcW w:w="6598" w:type="dxa"/>
            <w:shd w:val="clear" w:color="auto" w:fill="FFFFFF"/>
            <w:vAlign w:val="center"/>
          </w:tcPr>
          <w:p w14:paraId="77CD253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据投项目应急预案、质量及进度控制保证措施理解和分析是否清晰、科学、合理，及方案的系统性和可操作性等因素进行判断，并在相应档次进行独立打分，不提供方案的不得分。</w:t>
            </w:r>
          </w:p>
          <w:p w14:paraId="570F56C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一档（3分）：项目实施应急预案内容简单，服务意识单一，管理水平较差，无征对性的质量保证措施，可操作性基本符合招标文件要求；</w:t>
            </w:r>
          </w:p>
          <w:p w14:paraId="4D18287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二档（6分）：项目实施应急预案对突发事件能及时作出响应，服务意识较强，实施进度控制及质量保证措施、实施步骤和要求描述基本可行，应急预案较合理，方案基本可行，较好的满足采购需求；</w:t>
            </w:r>
          </w:p>
          <w:p w14:paraId="50C184C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color w:val="000000"/>
                <w:kern w:val="0"/>
                <w:szCs w:val="21"/>
                <w:lang w:bidi="ar"/>
              </w:rPr>
            </w:pPr>
            <w:r>
              <w:rPr>
                <w:rFonts w:hint="eastAsia" w:ascii="宋体" w:hAnsi="宋体" w:eastAsia="宋体" w:cs="宋体"/>
                <w:highlight w:val="none"/>
                <w:lang w:val="en-US" w:eastAsia="zh-CN"/>
              </w:rPr>
              <w:t>三档（9分）：项目实施应急预案有针对性，应急预案具体实施步骤和分析描述全面到位，方案科学、详实，对突发事件即时响应；有具体的实施日程表，实施步骤和要求描述全面，职责分工明确，进度安排合理，服务意识强，管理水平高，实施进度控制及质量保证措施、实施步骤和要求描述全面、合理，可行性高。</w:t>
            </w:r>
          </w:p>
        </w:tc>
      </w:tr>
      <w:tr w14:paraId="1C42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40" w:type="dxa"/>
            <w:vMerge w:val="continue"/>
            <w:shd w:val="clear" w:color="auto" w:fill="FFFFFF"/>
            <w:vAlign w:val="center"/>
          </w:tcPr>
          <w:p w14:paraId="54069D20">
            <w:pPr>
              <w:widowControl/>
              <w:jc w:val="center"/>
              <w:textAlignment w:val="center"/>
              <w:rPr>
                <w:rFonts w:ascii="宋体" w:hAnsi="宋体" w:cs="宋体"/>
                <w:color w:val="000000"/>
                <w:kern w:val="0"/>
                <w:szCs w:val="21"/>
                <w:lang w:bidi="ar"/>
              </w:rPr>
            </w:pPr>
          </w:p>
        </w:tc>
        <w:tc>
          <w:tcPr>
            <w:tcW w:w="1095" w:type="dxa"/>
            <w:shd w:val="clear" w:color="auto" w:fill="FFFFFF"/>
            <w:vAlign w:val="center"/>
          </w:tcPr>
          <w:p w14:paraId="1CC6B55C">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实施</w:t>
            </w:r>
            <w:r>
              <w:rPr>
                <w:rFonts w:hint="eastAsia" w:ascii="宋体" w:hAnsi="宋体" w:cs="宋体"/>
                <w:color w:val="000000"/>
                <w:kern w:val="0"/>
                <w:szCs w:val="21"/>
                <w:lang w:val="en-US" w:eastAsia="zh-CN" w:bidi="ar"/>
              </w:rPr>
              <w:t>及培训</w:t>
            </w:r>
            <w:r>
              <w:rPr>
                <w:rFonts w:hint="eastAsia" w:ascii="宋体" w:hAnsi="宋体" w:cs="宋体"/>
                <w:color w:val="000000"/>
                <w:kern w:val="0"/>
                <w:szCs w:val="21"/>
                <w:lang w:bidi="ar"/>
              </w:rPr>
              <w:t>方案</w:t>
            </w:r>
          </w:p>
        </w:tc>
        <w:tc>
          <w:tcPr>
            <w:tcW w:w="1140" w:type="dxa"/>
            <w:shd w:val="clear" w:color="auto" w:fill="FFFFFF"/>
            <w:vAlign w:val="center"/>
          </w:tcPr>
          <w:p w14:paraId="0E285102">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9</w:t>
            </w:r>
          </w:p>
        </w:tc>
        <w:tc>
          <w:tcPr>
            <w:tcW w:w="6598" w:type="dxa"/>
            <w:shd w:val="clear" w:color="auto" w:fill="FFFFFF"/>
            <w:vAlign w:val="center"/>
          </w:tcPr>
          <w:p w14:paraId="22E804CD">
            <w:pPr>
              <w:widowControl/>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一档（3分）</w:t>
            </w:r>
            <w:r>
              <w:rPr>
                <w:rFonts w:hint="eastAsia" w:ascii="宋体" w:hAnsi="宋体" w:cs="宋体"/>
                <w:color w:val="000000"/>
                <w:kern w:val="0"/>
                <w:szCs w:val="21"/>
                <w:lang w:bidi="ar"/>
              </w:rPr>
              <w:t>：项目实施</w:t>
            </w:r>
            <w:r>
              <w:rPr>
                <w:rFonts w:hint="eastAsia" w:ascii="宋体" w:hAnsi="宋体" w:cs="宋体"/>
                <w:color w:val="000000"/>
                <w:kern w:val="0"/>
                <w:szCs w:val="21"/>
                <w:lang w:val="en-US" w:eastAsia="zh-CN" w:bidi="ar"/>
              </w:rPr>
              <w:t>及培训</w:t>
            </w:r>
            <w:r>
              <w:rPr>
                <w:rFonts w:hint="eastAsia" w:ascii="宋体" w:hAnsi="宋体" w:cs="宋体"/>
                <w:color w:val="000000"/>
                <w:kern w:val="0"/>
                <w:szCs w:val="21"/>
                <w:lang w:bidi="ar"/>
              </w:rPr>
              <w:t>方案基本完善、基本合理、针对性一般、可实施性一般；</w:t>
            </w:r>
          </w:p>
          <w:p w14:paraId="38182A81">
            <w:pPr>
              <w:widowControl/>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二挡（6分）：</w:t>
            </w:r>
            <w:r>
              <w:rPr>
                <w:rFonts w:hint="eastAsia" w:ascii="宋体" w:hAnsi="宋体" w:cs="宋体"/>
                <w:color w:val="000000"/>
                <w:kern w:val="0"/>
                <w:szCs w:val="21"/>
                <w:lang w:bidi="ar"/>
              </w:rPr>
              <w:t>项目实施</w:t>
            </w:r>
            <w:r>
              <w:rPr>
                <w:rFonts w:hint="eastAsia" w:ascii="宋体" w:hAnsi="宋体" w:cs="宋体"/>
                <w:color w:val="000000"/>
                <w:kern w:val="0"/>
                <w:szCs w:val="21"/>
                <w:lang w:val="en-US" w:eastAsia="zh-CN" w:bidi="ar"/>
              </w:rPr>
              <w:t>及培训</w:t>
            </w:r>
            <w:r>
              <w:rPr>
                <w:rFonts w:hint="eastAsia" w:ascii="宋体" w:hAnsi="宋体" w:cs="宋体"/>
                <w:color w:val="000000"/>
                <w:kern w:val="0"/>
                <w:szCs w:val="21"/>
                <w:lang w:bidi="ar"/>
              </w:rPr>
              <w:t>方案较完善、较合理、针对性较强、可实施性较强</w:t>
            </w:r>
            <w:r>
              <w:rPr>
                <w:rFonts w:hint="eastAsia" w:ascii="宋体" w:hAnsi="宋体" w:cs="宋体"/>
                <w:color w:val="000000"/>
                <w:kern w:val="0"/>
                <w:szCs w:val="21"/>
                <w:lang w:eastAsia="zh-CN" w:bidi="ar"/>
              </w:rPr>
              <w:t>；</w:t>
            </w:r>
          </w:p>
          <w:p w14:paraId="3C99CDEC">
            <w:pPr>
              <w:widowControl/>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三挡（9分）：</w:t>
            </w:r>
            <w:r>
              <w:rPr>
                <w:rFonts w:hint="eastAsia" w:ascii="宋体" w:hAnsi="宋体" w:cs="宋体"/>
                <w:color w:val="000000"/>
                <w:kern w:val="0"/>
                <w:szCs w:val="21"/>
                <w:lang w:bidi="ar"/>
              </w:rPr>
              <w:t>项目实施</w:t>
            </w:r>
            <w:r>
              <w:rPr>
                <w:rFonts w:hint="eastAsia" w:ascii="宋体" w:hAnsi="宋体" w:cs="宋体"/>
                <w:color w:val="000000"/>
                <w:kern w:val="0"/>
                <w:szCs w:val="21"/>
                <w:lang w:val="en-US" w:eastAsia="zh-CN" w:bidi="ar"/>
              </w:rPr>
              <w:t>及培训</w:t>
            </w:r>
            <w:r>
              <w:rPr>
                <w:rFonts w:hint="eastAsia" w:ascii="宋体" w:hAnsi="宋体" w:cs="宋体"/>
                <w:color w:val="000000"/>
                <w:kern w:val="0"/>
                <w:szCs w:val="21"/>
                <w:lang w:bidi="ar"/>
              </w:rPr>
              <w:t>方案完善、科学合理、针对性强、可实施性强</w:t>
            </w:r>
            <w:r>
              <w:rPr>
                <w:rFonts w:hint="eastAsia" w:ascii="宋体" w:hAnsi="宋体" w:cs="宋体"/>
                <w:color w:val="000000"/>
                <w:kern w:val="0"/>
                <w:szCs w:val="21"/>
                <w:lang w:eastAsia="zh-CN" w:bidi="ar"/>
              </w:rPr>
              <w:t>。</w:t>
            </w:r>
          </w:p>
          <w:p w14:paraId="3A0CE891">
            <w:pPr>
              <w:widowControl/>
              <w:numPr>
                <w:ilvl w:val="0"/>
                <w:numId w:val="0"/>
              </w:numPr>
              <w:ind w:leftChars="0"/>
              <w:textAlignment w:val="center"/>
              <w:rPr>
                <w:rStyle w:val="12"/>
                <w:rFonts w:hint="default"/>
                <w:lang w:bidi="ar"/>
              </w:rPr>
            </w:pPr>
            <w:r>
              <w:rPr>
                <w:rFonts w:hint="eastAsia" w:ascii="宋体" w:hAnsi="宋体" w:cs="宋体"/>
                <w:color w:val="000000"/>
                <w:kern w:val="0"/>
                <w:szCs w:val="21"/>
                <w:lang w:bidi="ar"/>
              </w:rPr>
              <w:t>未提供实施</w:t>
            </w:r>
            <w:r>
              <w:rPr>
                <w:rFonts w:hint="eastAsia" w:ascii="宋体" w:hAnsi="宋体" w:cs="宋体"/>
                <w:color w:val="000000"/>
                <w:kern w:val="0"/>
                <w:szCs w:val="21"/>
                <w:lang w:val="en-US" w:eastAsia="zh-CN" w:bidi="ar"/>
              </w:rPr>
              <w:t>及培训</w:t>
            </w:r>
            <w:r>
              <w:rPr>
                <w:rFonts w:hint="eastAsia" w:ascii="宋体" w:hAnsi="宋体" w:cs="宋体"/>
                <w:color w:val="000000"/>
                <w:kern w:val="0"/>
                <w:szCs w:val="21"/>
                <w:lang w:bidi="ar"/>
              </w:rPr>
              <w:t>方案的不</w:t>
            </w:r>
            <w:r>
              <w:rPr>
                <w:rFonts w:hint="eastAsia" w:ascii="宋体" w:hAnsi="宋体" w:cs="宋体"/>
                <w:color w:val="000000"/>
                <w:kern w:val="0"/>
                <w:szCs w:val="21"/>
                <w:lang w:val="en-US" w:eastAsia="zh-CN" w:bidi="ar"/>
              </w:rPr>
              <w:t>得</w:t>
            </w:r>
            <w:r>
              <w:rPr>
                <w:rFonts w:hint="eastAsia" w:ascii="宋体" w:hAnsi="宋体" w:cs="宋体"/>
                <w:color w:val="000000"/>
                <w:kern w:val="0"/>
                <w:szCs w:val="21"/>
                <w:lang w:bidi="ar"/>
              </w:rPr>
              <w:t>分。</w:t>
            </w:r>
          </w:p>
        </w:tc>
      </w:tr>
      <w:tr w14:paraId="6022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35" w:type="dxa"/>
            <w:gridSpan w:val="2"/>
            <w:shd w:val="clear" w:color="auto" w:fill="FFFFFF"/>
            <w:vAlign w:val="center"/>
          </w:tcPr>
          <w:p w14:paraId="3F9B8E1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140" w:type="dxa"/>
            <w:shd w:val="clear" w:color="auto" w:fill="FFFFFF"/>
            <w:vAlign w:val="center"/>
          </w:tcPr>
          <w:p w14:paraId="4DA631AA">
            <w:pPr>
              <w:widowControl/>
              <w:ind w:firstLine="210" w:firstLineChars="100"/>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598" w:type="dxa"/>
            <w:shd w:val="clear" w:color="auto" w:fill="FFFFFF"/>
            <w:vAlign w:val="center"/>
          </w:tcPr>
          <w:p w14:paraId="7BCC1A86">
            <w:pPr>
              <w:rPr>
                <w:rFonts w:ascii="宋体" w:hAnsi="宋体" w:cs="宋体"/>
                <w:color w:val="000000"/>
                <w:szCs w:val="21"/>
              </w:rPr>
            </w:pPr>
          </w:p>
        </w:tc>
      </w:tr>
    </w:tbl>
    <w:p w14:paraId="7FB3CDBC"/>
    <w:sectPr>
      <w:headerReference r:id="rId3" w:type="default"/>
      <w:footerReference r:id="rId4" w:type="default"/>
      <w:pgSz w:w="11906" w:h="16838"/>
      <w:pgMar w:top="420" w:right="1800" w:bottom="476"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C498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CE14D">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0CE14D">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8CB75">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72172"/>
    <w:multiLevelType w:val="multilevel"/>
    <w:tmpl w:val="15372172"/>
    <w:lvl w:ilvl="0" w:tentative="0">
      <w:start w:val="1"/>
      <w:numFmt w:val="chineseCountingThousand"/>
      <w:suff w:val="nothing"/>
      <w:lvlText w:val="第%1章、"/>
      <w:lvlJc w:val="left"/>
      <w:pPr>
        <w:ind w:left="3261" w:firstLine="0"/>
      </w:pPr>
      <w:rPr>
        <w:rFonts w:hint="eastAsia"/>
      </w:rPr>
    </w:lvl>
    <w:lvl w:ilvl="1" w:tentative="0">
      <w:start w:val="1"/>
      <w:numFmt w:val="decimal"/>
      <w:pStyle w:val="2"/>
      <w:isLgl/>
      <w:suff w:val="nothing"/>
      <w:lvlText w:val="%1-%2、"/>
      <w:lvlJc w:val="left"/>
      <w:pPr>
        <w:ind w:left="0" w:firstLine="0"/>
      </w:pPr>
      <w:rPr>
        <w:rFonts w:hint="eastAsia"/>
      </w:rPr>
    </w:lvl>
    <w:lvl w:ilvl="2" w:tentative="0">
      <w:start w:val="1"/>
      <w:numFmt w:val="decimal"/>
      <w:isLgl/>
      <w:suff w:val="nothing"/>
      <w:lvlText w:val="%1-%2-%3、"/>
      <w:lvlJc w:val="left"/>
      <w:pPr>
        <w:ind w:left="0" w:firstLine="0"/>
      </w:pPr>
      <w:rPr>
        <w:rFonts w:hint="eastAsia"/>
      </w:rPr>
    </w:lvl>
    <w:lvl w:ilvl="3" w:tentative="0">
      <w:start w:val="1"/>
      <w:numFmt w:val="upperLetter"/>
      <w:lvlRestart w:val="1"/>
      <w:isLgl/>
      <w:suff w:val="nothing"/>
      <w:lvlText w:val="%1-%4-%2-%3、"/>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none"/>
      <w:suff w:val="nothing"/>
      <w:lvlText w:val="%5）、"/>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YWRkMmVjMzZlYWFjNDAxM2E4YjI4ZjU2Yzk3ZGIifQ=="/>
  </w:docVars>
  <w:rsids>
    <w:rsidRoot w:val="00000000"/>
    <w:rsid w:val="108A0C3B"/>
    <w:rsid w:val="4757511F"/>
    <w:rsid w:val="7423597C"/>
    <w:rsid w:val="7F786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next w:val="5"/>
    <w:qFormat/>
    <w:uiPriority w:val="99"/>
    <w:pPr>
      <w:ind w:firstLine="830" w:firstLineChars="352"/>
    </w:pPr>
    <w:rPr>
      <w:rFonts w:ascii="仿宋_GB2312" w:eastAsia="仿宋_GB2312"/>
      <w:sz w:val="32"/>
      <w:szCs w:val="20"/>
    </w:rPr>
  </w:style>
  <w:style w:type="paragraph" w:styleId="5">
    <w:name w:val="envelope return"/>
    <w:basedOn w:val="1"/>
    <w:qFormat/>
    <w:uiPriority w:val="0"/>
    <w:pPr>
      <w:snapToGrid w:val="0"/>
    </w:pPr>
    <w:rPr>
      <w:rFonts w:ascii="Arial" w:hAnsi="Arial"/>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paragraph" w:styleId="9">
    <w:name w:val="Body Text First Indent 2"/>
    <w:basedOn w:val="4"/>
    <w:qFormat/>
    <w:uiPriority w:val="0"/>
    <w:pPr>
      <w:spacing w:after="120"/>
      <w:ind w:left="420" w:leftChars="200" w:firstLine="420" w:firstLineChars="200"/>
    </w:pPr>
    <w:rPr>
      <w:rFonts w:ascii="Times New Roman" w:eastAsia="宋体"/>
      <w:sz w:val="21"/>
      <w:szCs w:val="24"/>
    </w:rPr>
  </w:style>
  <w:style w:type="character" w:customStyle="1" w:styleId="12">
    <w:name w:val="font31"/>
    <w:basedOn w:val="11"/>
    <w:qFormat/>
    <w:uiPriority w:val="0"/>
    <w:rPr>
      <w:rFonts w:hint="eastAsia" w:ascii="宋体" w:hAnsi="宋体" w:eastAsia="宋体" w:cs="宋体"/>
      <w:color w:val="000000"/>
      <w:sz w:val="21"/>
      <w:szCs w:val="21"/>
      <w:u w:val="none"/>
    </w:rPr>
  </w:style>
  <w:style w:type="character" w:customStyle="1" w:styleId="13">
    <w:name w:val="font11"/>
    <w:basedOn w:val="11"/>
    <w:qFormat/>
    <w:uiPriority w:val="0"/>
    <w:rPr>
      <w:rFonts w:hint="eastAsia" w:ascii="宋体" w:hAnsi="宋体" w:eastAsia="宋体" w:cs="宋体"/>
      <w:color w:val="000000"/>
      <w:sz w:val="21"/>
      <w:szCs w:val="21"/>
      <w:u w:val="none"/>
    </w:rPr>
  </w:style>
  <w:style w:type="paragraph" w:styleId="14">
    <w:name w:val="List Paragraph"/>
    <w:basedOn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1984</Words>
  <Characters>2013</Characters>
  <Lines>0</Lines>
  <Paragraphs>0</Paragraphs>
  <TotalTime>3</TotalTime>
  <ScaleCrop>false</ScaleCrop>
  <LinksUpToDate>false</LinksUpToDate>
  <CharactersWithSpaces>2014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2024-11-12T09:09:00Z</dcterms:created>
  <dc:creator>gp</dc:creator>
  <cp:lastModifiedBy>莫心烦</cp:lastModifiedBy>
  <dcterms:modified xsi:type="dcterms:W3CDTF">2025-05-16T01:24:07Z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2D214E17114940AA8138705CE37AD6C1_12</vt:lpwstr>
  </property>
  <property fmtid="{D5CDD505-2E9C-101B-9397-08002B2CF9AE}" pid="4" name="KSOTemplateDocerSaveRecord">
    <vt:lpwstr>eyJoZGlkIjoiOTc0YWRkMmVjMzZlYWFjNDAxM2E4YjI4ZjU2Yzk3ZGIiLCJ1c2VySWQiOiI0NDg1MDY2MTUifQ==</vt:lpwstr>
  </property>
</Properties>
</file>