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FF182">
      <w:pPr>
        <w:jc w:val="center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涡旋振荡器</w:t>
      </w:r>
      <w:bookmarkStart w:id="0" w:name="_GoBack"/>
      <w:bookmarkEnd w:id="0"/>
    </w:p>
    <w:p w14:paraId="348AAC98">
      <w:pPr>
        <w:pStyle w:val="2"/>
        <w:numPr>
          <w:ilvl w:val="0"/>
          <w:numId w:val="0"/>
        </w:numPr>
        <w:spacing w:line="360" w:lineRule="auto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一、产品用途</w:t>
      </w:r>
    </w:p>
    <w:p w14:paraId="60C492E7">
      <w:pPr>
        <w:spacing w:line="360" w:lineRule="auto"/>
        <w:ind w:firstLine="420" w:firstLineChars="20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</w:rPr>
        <w:t>用于细胞遗传实验室</w:t>
      </w:r>
      <w:r>
        <w:rPr>
          <w:rFonts w:hint="eastAsia" w:ascii="宋体" w:hAnsi="宋体" w:cs="宋体"/>
          <w:lang w:val="en-US" w:eastAsia="zh-CN"/>
        </w:rPr>
        <w:t>样本或试剂混匀，可混匀各种试管以及烧杯或其它容器。三点开关可选择自动或点振混合方式、自动混合方式可提高工作效率。具有功能强大、坚固耐用和性能可靠等优点</w:t>
      </w:r>
    </w:p>
    <w:p w14:paraId="2FF43AC0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二、</w:t>
      </w:r>
      <w:r>
        <w:rPr>
          <w:rFonts w:hint="eastAsia" w:ascii="宋体" w:hAnsi="宋体" w:cs="宋体"/>
          <w:b/>
          <w:bCs/>
        </w:rPr>
        <w:t>设备性能需求（购置参数）</w:t>
      </w:r>
    </w:p>
    <w:p w14:paraId="3E1A2E77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1.多功能性：各种形状、尺寸和材料的附件提供了一个广泛的应用范围，适合各种试管与容器，可以采用自动和手动两种混合方式。</w:t>
      </w:r>
    </w:p>
    <w:p w14:paraId="795D20E1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2. 自动与点振混合方式：三点开关可选择自动或点振混合方式。自动混合方式可提高工作效率。点振混合：将左侧开关调到 -“TOUCH”状态，机器将以点振混合方式进行工作。将试管轻压垫片，主机会按照已调节好的工作速度进入工作状态，试管拿开，主机停止工作。自动混合：将左侧开关调到“ON”状态，混合器主机将一直按照已调节好的速度一直工作。3. 稳定性：足够重量的整体金属外壳，为各种混合提供了稳定的操作平台。</w:t>
      </w:r>
    </w:p>
    <w:p w14:paraId="34420D0A">
      <w:pPr>
        <w:spacing w:line="360" w:lineRule="auto"/>
        <w:rPr>
          <w:rFonts w:hint="default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4.</w:t>
      </w:r>
      <w:r>
        <w:rPr>
          <w:rFonts w:hint="default" w:ascii="宋体" w:hAnsi="宋体" w:cs="宋体"/>
          <w:sz w:val="21"/>
          <w:szCs w:val="21"/>
        </w:rPr>
        <w:t>电源需求 ：220V，50Hz</w:t>
      </w:r>
    </w:p>
    <w:p w14:paraId="3E9D46B3">
      <w:pPr>
        <w:spacing w:line="360" w:lineRule="auto"/>
        <w:rPr>
          <w:rFonts w:hint="default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</w:t>
      </w:r>
      <w:r>
        <w:rPr>
          <w:rFonts w:hint="default" w:ascii="宋体" w:hAnsi="宋体" w:cs="宋体"/>
          <w:sz w:val="21"/>
          <w:szCs w:val="21"/>
        </w:rPr>
        <w:t>可操作模式：点触式振动，连续振动</w:t>
      </w:r>
    </w:p>
    <w:p w14:paraId="11533472">
      <w:pPr>
        <w:spacing w:line="360" w:lineRule="auto"/>
        <w:rPr>
          <w:rFonts w:hint="default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6；</w:t>
      </w:r>
      <w:r>
        <w:rPr>
          <w:rFonts w:hint="default" w:ascii="宋体" w:hAnsi="宋体" w:cs="宋体"/>
          <w:sz w:val="21"/>
          <w:szCs w:val="21"/>
        </w:rPr>
        <w:t>保修期 ：壹年标准</w:t>
      </w:r>
    </w:p>
    <w:p w14:paraId="37437F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704C7"/>
    <w:rsid w:val="096F0255"/>
    <w:rsid w:val="5DC7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424</Characters>
  <Lines>0</Lines>
  <Paragraphs>0</Paragraphs>
  <TotalTime>0</TotalTime>
  <ScaleCrop>false</ScaleCrop>
  <LinksUpToDate>false</LinksUpToDate>
  <CharactersWithSpaces>429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2025-03-18T03:33:00Z</dcterms:created>
  <dc:creator>慶</dc:creator>
  <cp:lastModifiedBy>慶</cp:lastModifiedBy>
  <cp:lastPrinted>2025-03-21T00:43:37Z</cp:lastPrinted>
  <dcterms:modified xsi:type="dcterms:W3CDTF">2025-03-21T00:43:40Z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76DA128DA3424F1CBDCAF8444D681EFC_11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