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3862E">
      <w:pPr>
        <w:jc w:val="center"/>
        <w:rPr>
          <w:rFonts w:hint="default" w:eastAsia="宋体"/>
          <w:b/>
          <w:bCs/>
          <w:sz w:val="40"/>
          <w:szCs w:val="48"/>
          <w:lang w:val="en-US" w:eastAsia="zh-CN"/>
        </w:rPr>
      </w:pPr>
      <w:bookmarkStart w:id="0" w:name="_GoBack"/>
      <w:r>
        <w:rPr>
          <w:rFonts w:hint="eastAsia"/>
          <w:b/>
          <w:bCs/>
          <w:sz w:val="40"/>
          <w:szCs w:val="48"/>
          <w:lang w:val="en-US" w:eastAsia="zh-CN"/>
        </w:rPr>
        <w:t>血气分析仪技术参数</w:t>
      </w:r>
    </w:p>
    <w:bookmarkEnd w:id="0"/>
    <w:p w14:paraId="62F70636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适用于床旁诊断和中心实验室的血气标本分析，进行血气、电解质、代谢物和血氧同时测定的仪器，具备便携、准确、快速、精密度好、免维护免保养的特点。</w:t>
      </w:r>
    </w:p>
    <w:p w14:paraId="39B6289A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hint="eastAsia" w:ascii="宋体" w:hAnsi="宋体" w:cs="宋体"/>
          <w:sz w:val="24"/>
          <w:lang w:val="de-DE"/>
        </w:rPr>
        <w:t>★</w:t>
      </w:r>
      <w:r>
        <w:rPr>
          <w:rFonts w:hint="eastAsia" w:ascii="宋体" w:hAnsi="宋体" w:cs="宋体"/>
          <w:sz w:val="24"/>
        </w:rPr>
        <w:t>可</w:t>
      </w:r>
      <w:r>
        <w:rPr>
          <w:rFonts w:hint="eastAsia" w:ascii="Arial" w:hAnsi="Arial" w:eastAsia="楷体" w:cs="Arial"/>
          <w:sz w:val="24"/>
        </w:rPr>
        <w:t>直接检测</w:t>
      </w:r>
      <w:r>
        <w:rPr>
          <w:rFonts w:ascii="Arial" w:hAnsi="Arial" w:eastAsia="楷体" w:cs="Arial"/>
          <w:sz w:val="24"/>
          <w:lang w:val="de-DE"/>
        </w:rPr>
        <w:t>项目：PH、PCO2、PO2、Na</w:t>
      </w:r>
      <w:r>
        <w:rPr>
          <w:rFonts w:ascii="Arial" w:hAnsi="Arial" w:eastAsia="楷体" w:cs="Arial"/>
          <w:sz w:val="24"/>
          <w:vertAlign w:val="superscript"/>
          <w:lang w:val="de-DE"/>
        </w:rPr>
        <w:t>＋</w:t>
      </w:r>
      <w:r>
        <w:rPr>
          <w:rFonts w:ascii="Arial" w:hAnsi="Arial" w:eastAsia="楷体" w:cs="Arial"/>
          <w:sz w:val="24"/>
          <w:lang w:val="de-DE"/>
        </w:rPr>
        <w:t>、K</w:t>
      </w:r>
      <w:r>
        <w:rPr>
          <w:rFonts w:ascii="Arial" w:hAnsi="Arial" w:eastAsia="楷体" w:cs="Arial"/>
          <w:sz w:val="24"/>
          <w:vertAlign w:val="superscript"/>
          <w:lang w:val="de-DE"/>
        </w:rPr>
        <w:t>＋</w:t>
      </w:r>
      <w:r>
        <w:rPr>
          <w:rFonts w:ascii="Arial" w:hAnsi="Arial" w:eastAsia="楷体" w:cs="Arial"/>
          <w:sz w:val="24"/>
          <w:lang w:val="de-DE"/>
        </w:rPr>
        <w:t>、Cl</w:t>
      </w:r>
      <w:r>
        <w:rPr>
          <w:rFonts w:ascii="Arial" w:hAnsi="Arial" w:eastAsia="楷体" w:cs="Arial"/>
          <w:sz w:val="24"/>
          <w:vertAlign w:val="superscript"/>
          <w:lang w:val="de-DE"/>
        </w:rPr>
        <w:t>—</w:t>
      </w:r>
      <w:r>
        <w:rPr>
          <w:rFonts w:ascii="Arial" w:hAnsi="Arial" w:eastAsia="楷体" w:cs="Arial"/>
          <w:sz w:val="24"/>
          <w:lang w:val="de-DE"/>
        </w:rPr>
        <w:t>、Ca</w:t>
      </w:r>
      <w:r>
        <w:rPr>
          <w:rFonts w:ascii="Arial" w:hAnsi="Arial" w:eastAsia="楷体" w:cs="Arial"/>
          <w:sz w:val="24"/>
          <w:vertAlign w:val="superscript"/>
          <w:lang w:val="de-DE"/>
        </w:rPr>
        <w:t>＋＋</w:t>
      </w:r>
      <w:r>
        <w:rPr>
          <w:rFonts w:ascii="Arial" w:hAnsi="Arial" w:eastAsia="楷体" w:cs="Arial"/>
          <w:sz w:val="24"/>
          <w:lang w:val="de-DE"/>
        </w:rPr>
        <w:t>、Glu、Lac、Hct、tHb、O2Hb、COHb、MetHb、HHb、SO2、tBili</w:t>
      </w:r>
      <w:r>
        <w:rPr>
          <w:rFonts w:hint="eastAsia" w:ascii="Arial" w:hAnsi="Arial" w:eastAsia="楷体" w:cs="Arial"/>
          <w:sz w:val="24"/>
          <w:lang w:val="de-DE"/>
        </w:rPr>
        <w:t>。</w:t>
      </w:r>
    </w:p>
    <w:p w14:paraId="1C406467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全项目样本体积≤150μL，最小样本体积≤65μL。</w:t>
      </w:r>
    </w:p>
    <w:p w14:paraId="6D588FB1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进样方式：全自动吸样进样</w:t>
      </w:r>
      <w:r>
        <w:rPr>
          <w:rFonts w:hint="eastAsia" w:ascii="Arial" w:hAnsi="Arial" w:eastAsia="楷体" w:cs="Arial"/>
          <w:sz w:val="24"/>
          <w:lang w:val="de-DE"/>
        </w:rPr>
        <w:t>，无需手动调整吸样针。</w:t>
      </w:r>
      <w:r>
        <w:rPr>
          <w:rFonts w:ascii="Arial" w:hAnsi="Arial" w:eastAsia="楷体" w:cs="Arial"/>
          <w:sz w:val="24"/>
          <w:lang w:val="de-DE"/>
        </w:rPr>
        <w:t>毛细采血管或安剖瓶进样时无需另接适配器</w:t>
      </w:r>
    </w:p>
    <w:p w14:paraId="798D760E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测试方法：电极法，光学法（血氧）。</w:t>
      </w:r>
    </w:p>
    <w:p w14:paraId="42F6E18F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测试速度：≤45s全参数。</w:t>
      </w:r>
    </w:p>
    <w:p w14:paraId="14380923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无需另外购置/更换除分析包之外的电极、管路、吸样针、滤网等其他消耗品；</w:t>
      </w:r>
      <w:r>
        <w:rPr>
          <w:rFonts w:hint="eastAsia" w:ascii="Arial" w:hAnsi="Arial" w:eastAsia="楷体" w:cs="Arial"/>
          <w:sz w:val="24"/>
          <w:lang w:val="de-DE"/>
        </w:rPr>
        <w:t>吸样针内置于分析包内</w:t>
      </w:r>
    </w:p>
    <w:p w14:paraId="44C3438E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hint="eastAsia" w:ascii="宋体" w:hAnsi="宋体" w:cs="宋体"/>
          <w:sz w:val="24"/>
          <w:lang w:val="de-DE"/>
        </w:rPr>
        <w:t>★</w:t>
      </w:r>
      <w:r>
        <w:rPr>
          <w:rFonts w:ascii="Arial" w:hAnsi="Arial" w:eastAsia="楷体" w:cs="Arial"/>
          <w:sz w:val="24"/>
          <w:lang w:val="de-DE"/>
        </w:rPr>
        <w:t>使用一体式、多人份、抛弃型分析包，内含有电极卡、进样针、定标/质控溶液、参比液、溶血剂、废液容器。</w:t>
      </w:r>
    </w:p>
    <w:p w14:paraId="12036F23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生物安全性：仪器本身无血样及试剂流通通道，从而尽可能保障操作人员的生物安全性。</w:t>
      </w:r>
    </w:p>
    <w:p w14:paraId="28CB4F4F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分析包、电极等</w:t>
      </w:r>
      <w:r>
        <w:rPr>
          <w:rFonts w:hint="eastAsia" w:ascii="Arial" w:hAnsi="Arial" w:eastAsia="楷体" w:cs="Arial"/>
          <w:sz w:val="24"/>
        </w:rPr>
        <w:t>所有消耗品可</w:t>
      </w:r>
      <w:r>
        <w:rPr>
          <w:rFonts w:ascii="Arial" w:hAnsi="Arial" w:eastAsia="楷体" w:cs="Arial"/>
          <w:sz w:val="24"/>
          <w:lang w:val="de-DE"/>
        </w:rPr>
        <w:t>室温保存</w:t>
      </w:r>
      <w:r>
        <w:rPr>
          <w:rFonts w:hint="eastAsia" w:ascii="Arial" w:hAnsi="Arial" w:eastAsia="楷体" w:cs="Arial"/>
          <w:sz w:val="24"/>
          <w:lang w:val="de-DE"/>
        </w:rPr>
        <w:t>，</w:t>
      </w:r>
      <w:r>
        <w:rPr>
          <w:rFonts w:ascii="Arial" w:hAnsi="Arial" w:eastAsia="楷体" w:cs="Arial"/>
          <w:sz w:val="24"/>
          <w:lang w:val="de-DE"/>
        </w:rPr>
        <w:t>出厂有效期均≥180天。</w:t>
      </w:r>
    </w:p>
    <w:p w14:paraId="1AAE4904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分析包、电极等所有消耗品上机效期≥31天。</w:t>
      </w:r>
    </w:p>
    <w:p w14:paraId="2B33E496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hint="eastAsia" w:ascii="宋体" w:hAnsi="宋体" w:cs="宋体"/>
          <w:sz w:val="24"/>
          <w:lang w:val="de-DE"/>
        </w:rPr>
        <w:t>★</w:t>
      </w:r>
      <w:r>
        <w:rPr>
          <w:rFonts w:ascii="Arial" w:hAnsi="Arial" w:eastAsia="楷体" w:cs="Arial"/>
          <w:sz w:val="24"/>
          <w:lang w:val="de-DE"/>
        </w:rPr>
        <w:t>标配内置质控</w:t>
      </w:r>
      <w:r>
        <w:rPr>
          <w:rFonts w:hint="eastAsia" w:ascii="Arial" w:hAnsi="Arial" w:eastAsia="楷体" w:cs="Arial"/>
          <w:sz w:val="24"/>
          <w:lang w:val="de-DE"/>
        </w:rPr>
        <w:t>：</w:t>
      </w:r>
      <w:r>
        <w:rPr>
          <w:rFonts w:ascii="Arial" w:hAnsi="Arial" w:eastAsia="楷体" w:cs="Arial"/>
          <w:sz w:val="24"/>
          <w:lang w:val="de-DE"/>
        </w:rPr>
        <w:t>执行质控程序不消耗测试人份数,显著节省科室费用。</w:t>
      </w:r>
    </w:p>
    <w:p w14:paraId="00D528EF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hint="eastAsia" w:ascii="宋体" w:hAnsi="宋体" w:cs="宋体"/>
          <w:sz w:val="24"/>
          <w:lang w:val="de-DE"/>
        </w:rPr>
        <w:t>★</w:t>
      </w:r>
      <w:r>
        <w:rPr>
          <w:rFonts w:ascii="Arial" w:hAnsi="Arial" w:eastAsia="楷体" w:cs="Arial"/>
          <w:sz w:val="24"/>
        </w:rPr>
        <w:t>具有机内智能化质控系统：质控品集成在分析包内，以高频率主动进行实时、连续的质量控制，及时发现问题，自动识别错误并纠错，自动生成质控报告。</w:t>
      </w:r>
      <w:r>
        <w:rPr>
          <w:rFonts w:hint="eastAsia" w:ascii="Arial" w:hAnsi="Arial" w:eastAsia="楷体" w:cs="Arial"/>
          <w:sz w:val="24"/>
          <w:lang w:val="de-DE"/>
        </w:rPr>
        <w:t>对每个血气标本“分析前-中-后”的质量核查;</w:t>
      </w:r>
    </w:p>
    <w:p w14:paraId="0C901585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hint="eastAsia" w:ascii="宋体" w:hAnsi="宋体" w:cs="宋体"/>
          <w:sz w:val="24"/>
          <w:lang w:val="de-DE"/>
        </w:rPr>
        <w:t>★</w:t>
      </w:r>
      <w:r>
        <w:rPr>
          <w:rFonts w:hint="eastAsia" w:ascii="Arial" w:hAnsi="Arial" w:eastAsia="楷体" w:cs="Arial"/>
          <w:sz w:val="24"/>
          <w:lang w:val="de-DE"/>
        </w:rPr>
        <w:t>具有实时质量控制新技术，发现由微小凝块、微小气泡、干扰物质产生的瞬态误差</w:t>
      </w:r>
    </w:p>
    <w:p w14:paraId="0E9647BE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若标本受到干扰物质影响，仪器能够检测到干扰物质并将受影响的结果标记出来。</w:t>
      </w:r>
    </w:p>
    <w:p w14:paraId="364AFA63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可通过信息管理系统将全院各临床科室血气分析仪全部联网，并可通过电脑端、移动端、血气分析仪端远程访问进行统一的管理，实现操作人员、分析仪、数据的管理控制。</w:t>
      </w:r>
    </w:p>
    <w:p w14:paraId="75746631">
      <w:pPr>
        <w:numPr>
          <w:ilvl w:val="0"/>
          <w:numId w:val="1"/>
        </w:numPr>
        <w:spacing w:before="156" w:beforeLines="50" w:line="340" w:lineRule="exact"/>
        <w:rPr>
          <w:rFonts w:ascii="Arial" w:hAnsi="Arial" w:eastAsia="楷体" w:cs="Arial"/>
          <w:sz w:val="24"/>
          <w:lang w:val="de-DE"/>
        </w:rPr>
      </w:pPr>
      <w:r>
        <w:rPr>
          <w:rFonts w:ascii="Arial" w:hAnsi="Arial" w:eastAsia="楷体" w:cs="Arial"/>
          <w:sz w:val="24"/>
          <w:lang w:val="de-DE"/>
        </w:rPr>
        <w:t>用户可自定义测量单位，数据打印形式，参考及报警范围。</w:t>
      </w:r>
    </w:p>
    <w:p w14:paraId="7F78D4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C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2025-03-19T08:55:04Z</dcterms:created>
  <dc:creator>Administrator</dc:creator>
  <cp:lastModifiedBy>社会主义接班人</cp:lastModifiedBy>
  <dcterms:modified xsi:type="dcterms:W3CDTF">2025-03-19T08:55:37Z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87ECEB0756B94D2686ACC3AFF64625AF_12</vt:lpwstr>
  </property>
</Properties>
</file>