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20" w:lineRule="exact"/>
        <w:jc w:val="center"/>
        <w:rPr>
          <w:rFonts w:ascii="楷体" w:hAnsi="楷体" w:eastAsia="楷体"/>
          <w:b/>
          <w:sz w:val="24"/>
        </w:rPr>
      </w:pPr>
      <w:r>
        <w:rPr>
          <w:rFonts w:ascii="楷体" w:hAnsi="楷体" w:eastAsia="楷体"/>
          <w:b/>
          <w:sz w:val="24"/>
        </w:rPr>
        <w:t>血气分析仪技术要求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highlight w:val="none"/>
          <w:lang w:val="de-DE"/>
        </w:rPr>
      </w:pPr>
      <w:r>
        <w:rPr>
          <w:rFonts w:ascii="Arial" w:hAnsi="Arial" w:eastAsia="楷体" w:cs="Arial"/>
          <w:sz w:val="24"/>
          <w:highlight w:val="none"/>
          <w:lang w:val="de-DE"/>
        </w:rPr>
        <w:t>适用于床旁诊断和中心实验室的血气标本分析，进行血气、电解质、代谢物和血氧同时测定的仪器，具备便携、准确、快速、精密度好、免维护免保养的特点。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Segoe UI Symbol" w:hAnsi="Segoe UI Symbol" w:eastAsia="楷体" w:cs="Segoe UI Symbol"/>
          <w:sz w:val="24"/>
          <w:highlight w:val="none"/>
          <w:lang w:val="de-DE"/>
        </w:rPr>
        <w:t>★</w:t>
      </w:r>
      <w:r>
        <w:rPr>
          <w:rFonts w:ascii="Arial" w:hAnsi="Arial" w:eastAsia="楷体" w:cs="Arial"/>
          <w:sz w:val="24"/>
          <w:highlight w:val="none"/>
          <w:lang w:val="de-DE"/>
        </w:rPr>
        <w:t>检测项目：PH、PCO2、PO2、Na</w:t>
      </w:r>
      <w:r>
        <w:rPr>
          <w:rFonts w:ascii="Arial" w:hAnsi="Arial" w:eastAsia="楷体" w:cs="Arial"/>
          <w:sz w:val="24"/>
          <w:highlight w:val="none"/>
          <w:vertAlign w:val="superscript"/>
          <w:lang w:val="de-DE"/>
        </w:rPr>
        <w:t>＋</w:t>
      </w:r>
      <w:r>
        <w:rPr>
          <w:rFonts w:ascii="Arial" w:hAnsi="Arial" w:eastAsia="楷体" w:cs="Arial"/>
          <w:sz w:val="24"/>
          <w:highlight w:val="none"/>
          <w:lang w:val="de-DE"/>
        </w:rPr>
        <w:t>、K</w:t>
      </w:r>
      <w:r>
        <w:rPr>
          <w:rFonts w:ascii="Arial" w:hAnsi="Arial" w:eastAsia="楷体" w:cs="Arial"/>
          <w:sz w:val="24"/>
          <w:highlight w:val="none"/>
          <w:vertAlign w:val="superscript"/>
          <w:lang w:val="de-DE"/>
        </w:rPr>
        <w:t>＋</w:t>
      </w:r>
      <w:r>
        <w:rPr>
          <w:rFonts w:ascii="Arial" w:hAnsi="Arial" w:eastAsia="楷体" w:cs="Arial"/>
          <w:sz w:val="24"/>
          <w:highlight w:val="none"/>
          <w:lang w:val="de-DE"/>
        </w:rPr>
        <w:t>、Ca</w:t>
      </w:r>
      <w:r>
        <w:rPr>
          <w:rFonts w:ascii="Arial" w:hAnsi="Arial" w:eastAsia="楷体" w:cs="Arial"/>
          <w:sz w:val="24"/>
          <w:highlight w:val="none"/>
          <w:vertAlign w:val="superscript"/>
          <w:lang w:val="de-DE"/>
        </w:rPr>
        <w:t>＋＋</w:t>
      </w:r>
      <w:r>
        <w:rPr>
          <w:rFonts w:ascii="Arial" w:hAnsi="Arial" w:eastAsia="楷体" w:cs="Arial"/>
          <w:sz w:val="24"/>
          <w:highlight w:val="none"/>
          <w:lang w:val="de-DE"/>
        </w:rPr>
        <w:t>、Glu、Lac、Hct</w:t>
      </w:r>
      <w:r>
        <w:rPr>
          <w:rFonts w:hint="eastAsia" w:ascii="Arial" w:hAnsi="Arial" w:eastAsia="楷体" w:cs="Arial"/>
          <w:sz w:val="24"/>
          <w:highlight w:val="none"/>
          <w:lang w:val="de-DE"/>
        </w:rPr>
        <w:t>。其中H</w:t>
      </w:r>
      <w:r>
        <w:rPr>
          <w:rFonts w:ascii="Arial" w:hAnsi="Arial" w:eastAsia="楷体" w:cs="Arial"/>
          <w:sz w:val="24"/>
          <w:highlight w:val="none"/>
          <w:lang w:val="de-DE"/>
        </w:rPr>
        <w:t>CT</w:t>
      </w:r>
      <w:r>
        <w:rPr>
          <w:rFonts w:hint="eastAsia" w:ascii="Arial" w:hAnsi="Arial" w:eastAsia="楷体" w:cs="Arial"/>
          <w:sz w:val="24"/>
          <w:highlight w:val="none"/>
          <w:lang w:val="de-DE"/>
        </w:rPr>
        <w:t>为直接检测参数，而非计算参数。</w:t>
      </w:r>
      <w:r>
        <w:rPr>
          <w:rFonts w:ascii="楷体" w:hAnsi="楷体" w:eastAsia="楷体"/>
          <w:sz w:val="24"/>
          <w:highlight w:val="none"/>
          <w:lang w:val="de-DE"/>
        </w:rPr>
        <w:t>各参数可根据临床需求自定义灵活组合</w:t>
      </w:r>
      <w:r>
        <w:rPr>
          <w:rFonts w:hint="eastAsia" w:ascii="楷体" w:hAnsi="楷体" w:eastAsia="楷体"/>
          <w:sz w:val="24"/>
          <w:highlight w:val="none"/>
          <w:lang w:val="de-DE" w:eastAsia="zh-CN"/>
        </w:rPr>
        <w:t>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Segoe UI Symbol" w:hAnsi="Segoe UI Symbol" w:eastAsia="楷体" w:cs="Segoe UI Symbol"/>
          <w:sz w:val="24"/>
          <w:highlight w:val="none"/>
          <w:lang w:val="de-DE"/>
        </w:rPr>
        <w:t>★</w:t>
      </w:r>
      <w:r>
        <w:rPr>
          <w:rFonts w:ascii="Arial" w:hAnsi="Arial" w:eastAsia="楷体" w:cs="Arial"/>
          <w:sz w:val="24"/>
          <w:highlight w:val="none"/>
          <w:lang w:val="de-DE"/>
        </w:rPr>
        <w:t>使用一体式、多人份、抛弃型分析包，内含有电极卡、进样针、定标/质控溶液、参比液、溶血剂、废液容器。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Arial" w:hAnsi="Arial" w:eastAsia="楷体" w:cs="Arial"/>
          <w:sz w:val="24"/>
          <w:highlight w:val="none"/>
          <w:lang w:val="de-DE"/>
        </w:rPr>
        <w:t>无需另外购置/更换除分析包之外的电极、管路、吸样针、滤网等其他消耗品；</w:t>
      </w:r>
      <w:r>
        <w:rPr>
          <w:rFonts w:hint="eastAsia" w:ascii="Arial" w:hAnsi="Arial" w:eastAsia="楷体" w:cs="Arial"/>
          <w:sz w:val="24"/>
          <w:highlight w:val="none"/>
          <w:lang w:val="de-DE"/>
        </w:rPr>
        <w:t>吸样针内置于分析包内</w:t>
      </w:r>
      <w:r>
        <w:rPr>
          <w:rFonts w:hint="eastAsia" w:ascii="Arial" w:hAnsi="Arial" w:eastAsia="楷体" w:cs="Arial"/>
          <w:sz w:val="24"/>
          <w:highlight w:val="none"/>
          <w:lang w:val="de-DE" w:eastAsia="zh-CN"/>
        </w:rPr>
        <w:t>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楷体" w:hAnsi="楷体" w:eastAsia="楷体"/>
          <w:sz w:val="24"/>
          <w:highlight w:val="none"/>
        </w:rPr>
        <w:t>测试项目及测试量根据分析包的不同可进行选择，无需升级仪器；且能提供75、150、300、450、600等多种测试量的分析包。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Arial" w:hAnsi="Arial" w:eastAsia="楷体" w:cs="Arial"/>
          <w:sz w:val="24"/>
          <w:highlight w:val="none"/>
          <w:lang w:val="de-DE"/>
        </w:rPr>
        <w:t>测试方法：电极法</w:t>
      </w:r>
      <w:r>
        <w:rPr>
          <w:rFonts w:hint="eastAsia" w:ascii="Arial" w:hAnsi="Arial" w:eastAsia="楷体" w:cs="Arial"/>
          <w:sz w:val="24"/>
          <w:highlight w:val="none"/>
          <w:lang w:val="de-DE" w:eastAsia="zh-CN"/>
        </w:rPr>
        <w:t>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highlight w:val="none"/>
          <w:lang w:val="de-DE"/>
        </w:rPr>
      </w:pPr>
      <w:r>
        <w:rPr>
          <w:rFonts w:ascii="Arial" w:hAnsi="Arial" w:eastAsia="楷体" w:cs="Arial"/>
          <w:sz w:val="24"/>
          <w:highlight w:val="none"/>
          <w:lang w:val="de-DE"/>
        </w:rPr>
        <w:t>进样方式：全自动吸样进样</w:t>
      </w:r>
      <w:r>
        <w:rPr>
          <w:rFonts w:hint="eastAsia" w:ascii="Arial" w:hAnsi="Arial" w:eastAsia="楷体" w:cs="Arial"/>
          <w:sz w:val="24"/>
          <w:highlight w:val="none"/>
          <w:lang w:val="de-DE"/>
        </w:rPr>
        <w:t>，无需手动调整吸样针</w:t>
      </w:r>
      <w:r>
        <w:rPr>
          <w:rFonts w:ascii="Arial" w:hAnsi="Arial" w:eastAsia="楷体" w:cs="Arial"/>
          <w:sz w:val="24"/>
          <w:highlight w:val="none"/>
          <w:lang w:val="de-DE"/>
        </w:rPr>
        <w:t>；</w:t>
      </w:r>
      <w:bookmarkStart w:id="1" w:name="_GoBack"/>
      <w:bookmarkEnd w:id="1"/>
      <w:r>
        <w:rPr>
          <w:rFonts w:ascii="Arial" w:hAnsi="Arial" w:eastAsia="楷体" w:cs="Arial"/>
          <w:sz w:val="24"/>
          <w:highlight w:val="none"/>
          <w:lang w:val="de-DE"/>
        </w:rPr>
        <w:t>毛细采血管或安剖瓶进样时无需另接适配器</w:t>
      </w:r>
      <w:r>
        <w:rPr>
          <w:rFonts w:hint="eastAsia" w:ascii="Arial" w:hAnsi="Arial" w:eastAsia="楷体" w:cs="Arial"/>
          <w:sz w:val="24"/>
          <w:highlight w:val="none"/>
          <w:lang w:val="de-DE" w:eastAsia="zh-CN"/>
        </w:rPr>
        <w:t>。</w:t>
      </w:r>
      <w:r>
        <w:rPr>
          <w:rFonts w:ascii="楷体" w:hAnsi="楷体" w:eastAsia="楷体"/>
          <w:sz w:val="24"/>
          <w:highlight w:val="none"/>
        </w:rPr>
        <w:t>进样区安装有LED照明灯，方便夜间进样操作</w:t>
      </w:r>
      <w:r>
        <w:rPr>
          <w:rFonts w:hint="eastAsia" w:ascii="楷体" w:hAnsi="楷体" w:eastAsia="楷体"/>
          <w:sz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highlight w:val="none"/>
          <w:lang w:val="de-DE"/>
        </w:rPr>
      </w:pPr>
      <w:r>
        <w:rPr>
          <w:rFonts w:ascii="Segoe UI Symbol" w:hAnsi="Segoe UI Symbol" w:eastAsia="楷体" w:cs="Segoe UI Symbol"/>
          <w:sz w:val="24"/>
          <w:highlight w:val="none"/>
          <w:lang w:val="de-DE"/>
        </w:rPr>
        <w:t>★</w:t>
      </w:r>
      <w:r>
        <w:rPr>
          <w:rFonts w:ascii="Arial" w:hAnsi="Arial" w:eastAsia="楷体" w:cs="Arial"/>
          <w:sz w:val="24"/>
          <w:highlight w:val="none"/>
          <w:lang w:val="de-DE"/>
        </w:rPr>
        <w:t>生物安全性：仪器本身无血样及试剂流通通道，从而尽可能保障操作人员的生物安全性。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Arial" w:hAnsi="Arial" w:eastAsia="楷体" w:cs="Arial"/>
          <w:sz w:val="24"/>
          <w:highlight w:val="none"/>
          <w:lang w:val="de-DE"/>
        </w:rPr>
        <w:t>分析包、电极等所有消耗出厂有效期均≥180天。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bookmarkStart w:id="0" w:name="_Hlk52119884"/>
      <w:r>
        <w:rPr>
          <w:rFonts w:ascii="Segoe UI Symbol" w:hAnsi="Segoe UI Symbol" w:eastAsia="楷体" w:cs="Segoe UI Symbol"/>
          <w:sz w:val="24"/>
          <w:highlight w:val="none"/>
        </w:rPr>
        <w:t>★</w:t>
      </w:r>
      <w:bookmarkEnd w:id="0"/>
      <w:r>
        <w:rPr>
          <w:rFonts w:ascii="Arial" w:hAnsi="Arial" w:eastAsia="楷体" w:cs="Arial"/>
          <w:sz w:val="24"/>
          <w:highlight w:val="none"/>
          <w:lang w:val="de-DE"/>
        </w:rPr>
        <w:t>标配内置质控</w:t>
      </w:r>
      <w:r>
        <w:rPr>
          <w:rFonts w:hint="eastAsia" w:ascii="Arial" w:hAnsi="Arial" w:eastAsia="楷体" w:cs="Arial"/>
          <w:sz w:val="24"/>
          <w:highlight w:val="none"/>
          <w:lang w:val="de-DE"/>
        </w:rPr>
        <w:t>：</w:t>
      </w:r>
      <w:r>
        <w:rPr>
          <w:rFonts w:ascii="Arial" w:hAnsi="Arial" w:eastAsia="楷体" w:cs="Arial"/>
          <w:sz w:val="24"/>
          <w:highlight w:val="none"/>
          <w:lang w:val="de-DE"/>
        </w:rPr>
        <w:t>执行质控程序不消耗测试人份数,显著节省科室费用。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Segoe UI Symbol" w:hAnsi="Segoe UI Symbol" w:eastAsia="楷体" w:cs="Segoe UI Symbol"/>
          <w:sz w:val="24"/>
          <w:highlight w:val="none"/>
        </w:rPr>
        <w:t>★</w:t>
      </w:r>
      <w:r>
        <w:rPr>
          <w:rFonts w:ascii="楷体" w:hAnsi="楷体" w:eastAsia="楷体"/>
          <w:sz w:val="24"/>
          <w:highlight w:val="none"/>
        </w:rPr>
        <w:t>具有机内智能化质控系统：</w:t>
      </w:r>
      <w:r>
        <w:rPr>
          <w:rFonts w:ascii="楷体" w:hAnsi="楷体" w:eastAsia="楷体"/>
          <w:bCs/>
          <w:sz w:val="24"/>
          <w:highlight w:val="none"/>
        </w:rPr>
        <w:t>质控品集成在分析包内，</w:t>
      </w:r>
      <w:r>
        <w:rPr>
          <w:rFonts w:ascii="楷体" w:hAnsi="楷体" w:eastAsia="楷体"/>
          <w:sz w:val="24"/>
          <w:highlight w:val="none"/>
        </w:rPr>
        <w:t>以高频率主动进行实时、连续的质量控制，及时发现问题，自动识别错误并纠错，自动生成质控报告</w:t>
      </w:r>
      <w:r>
        <w:rPr>
          <w:rFonts w:hint="eastAsia" w:ascii="楷体" w:hAnsi="楷体" w:eastAsia="楷体"/>
          <w:sz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Segoe UI Symbol" w:hAnsi="Segoe UI Symbol" w:eastAsia="楷体" w:cs="Segoe UI Symbol"/>
          <w:sz w:val="24"/>
          <w:highlight w:val="none"/>
        </w:rPr>
        <w:t>★</w:t>
      </w:r>
      <w:r>
        <w:rPr>
          <w:rFonts w:ascii="楷体" w:hAnsi="楷体" w:eastAsia="楷体"/>
          <w:sz w:val="24"/>
          <w:highlight w:val="none"/>
        </w:rPr>
        <w:t>消耗品（包括试剂包</w:t>
      </w:r>
      <w:r>
        <w:rPr>
          <w:rFonts w:hint="eastAsia" w:ascii="楷体" w:hAnsi="楷体" w:eastAsia="楷体"/>
          <w:sz w:val="24"/>
          <w:highlight w:val="none"/>
          <w:lang w:eastAsia="zh-CN"/>
        </w:rPr>
        <w:t>、</w:t>
      </w:r>
      <w:r>
        <w:rPr>
          <w:rFonts w:hint="eastAsia" w:ascii="楷体" w:hAnsi="楷体" w:eastAsia="楷体"/>
          <w:sz w:val="24"/>
          <w:highlight w:val="none"/>
          <w:lang w:val="en-US" w:eastAsia="zh-CN"/>
        </w:rPr>
        <w:t>电极卡</w:t>
      </w:r>
      <w:r>
        <w:rPr>
          <w:rFonts w:ascii="楷体" w:hAnsi="楷体" w:eastAsia="楷体"/>
          <w:sz w:val="24"/>
          <w:highlight w:val="none"/>
        </w:rPr>
        <w:t>）均可常温储存，无需冷藏。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Arial" w:hAnsi="Arial" w:eastAsia="楷体" w:cs="Arial"/>
          <w:sz w:val="24"/>
          <w:highlight w:val="none"/>
          <w:lang w:val="de-DE"/>
        </w:rPr>
        <w:t>分析包、电极等所有消耗品上机效期≥</w:t>
      </w:r>
      <w:r>
        <w:rPr>
          <w:rFonts w:hint="eastAsia" w:ascii="Arial" w:hAnsi="Arial" w:eastAsia="楷体" w:cs="Arial"/>
          <w:sz w:val="24"/>
          <w:highlight w:val="none"/>
          <w:lang w:val="en-US" w:eastAsia="zh-CN"/>
        </w:rPr>
        <w:t>2</w:t>
      </w:r>
      <w:r>
        <w:rPr>
          <w:rFonts w:ascii="Arial" w:hAnsi="Arial" w:eastAsia="楷体" w:cs="Arial"/>
          <w:sz w:val="24"/>
          <w:highlight w:val="none"/>
          <w:lang w:val="de-DE"/>
        </w:rPr>
        <w:t>1天。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楷体" w:hAnsi="楷体" w:eastAsia="楷体"/>
          <w:sz w:val="24"/>
          <w:highlight w:val="none"/>
        </w:rPr>
        <w:t>测试时间：吸入样本后≤</w:t>
      </w:r>
      <w:r>
        <w:rPr>
          <w:rFonts w:hint="eastAsia" w:ascii="楷体" w:hAnsi="楷体" w:eastAsia="楷体"/>
          <w:sz w:val="24"/>
          <w:highlight w:val="none"/>
          <w:lang w:val="en-US" w:eastAsia="zh-CN"/>
        </w:rPr>
        <w:t>90</w:t>
      </w:r>
      <w:r>
        <w:rPr>
          <w:rFonts w:ascii="楷体" w:hAnsi="楷体" w:eastAsia="楷体"/>
          <w:sz w:val="24"/>
          <w:highlight w:val="none"/>
        </w:rPr>
        <w:t>秒出结果。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Times New Roman" w:hAnsi="Times New Roman" w:eastAsia="楷体_GB2312"/>
          <w:sz w:val="24"/>
          <w:highlight w:val="none"/>
        </w:rPr>
        <w:t>标本量</w:t>
      </w:r>
      <w:r>
        <w:rPr>
          <w:rFonts w:ascii="楷体" w:hAnsi="楷体" w:eastAsia="楷体"/>
          <w:sz w:val="24"/>
          <w:highlight w:val="none"/>
        </w:rPr>
        <w:t>≤</w:t>
      </w:r>
      <w:r>
        <w:rPr>
          <w:rFonts w:ascii="Times New Roman" w:hAnsi="Times New Roman" w:eastAsia="楷体_GB2312"/>
          <w:sz w:val="24"/>
          <w:highlight w:val="none"/>
        </w:rPr>
        <w:t>150uL</w:t>
      </w:r>
      <w:r>
        <w:rPr>
          <w:rFonts w:hint="eastAsia" w:eastAsia="楷体_GB2312"/>
          <w:sz w:val="24"/>
          <w:highlight w:val="none"/>
          <w:lang w:eastAsia="zh-CN"/>
        </w:rPr>
        <w:t>，</w:t>
      </w:r>
      <w:r>
        <w:rPr>
          <w:rFonts w:ascii="Times New Roman" w:hAnsi="Times New Roman" w:eastAsia="楷体_GB2312"/>
          <w:sz w:val="24"/>
          <w:highlight w:val="none"/>
        </w:rPr>
        <w:t>标本类型可选择动脉血、静脉血、毛细血管血及其它</w:t>
      </w:r>
      <w:r>
        <w:rPr>
          <w:rFonts w:hint="eastAsia" w:eastAsia="楷体_GB2312"/>
          <w:sz w:val="24"/>
          <w:highlight w:val="none"/>
          <w:lang w:val="en-US" w:eastAsia="zh-CN"/>
        </w:rPr>
        <w:t>溶液。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Arial" w:hAnsi="Arial" w:eastAsia="楷体" w:cs="Arial"/>
          <w:sz w:val="24"/>
          <w:highlight w:val="none"/>
          <w:lang w:val="de-DE"/>
        </w:rPr>
        <w:t>可通过信息管理系统将全院各临床科室血气分析仪全部联网，并可通过电脑端、移动端、血气分析仪端远程访问进行统一的管理，实现操作人员、分析仪、数据的管理控制。</w:t>
      </w:r>
    </w:p>
    <w:p>
      <w:pPr>
        <w:numPr>
          <w:ilvl w:val="0"/>
          <w:numId w:val="1"/>
        </w:numPr>
        <w:spacing w:before="156" w:beforeLines="50" w:line="340" w:lineRule="exact"/>
        <w:rPr>
          <w:rFonts w:ascii="楷体" w:hAnsi="楷体" w:eastAsia="楷体"/>
          <w:sz w:val="24"/>
          <w:highlight w:val="none"/>
        </w:rPr>
      </w:pPr>
      <w:r>
        <w:rPr>
          <w:rFonts w:ascii="楷体" w:hAnsi="楷体" w:eastAsia="楷体"/>
          <w:sz w:val="24"/>
          <w:highlight w:val="none"/>
        </w:rPr>
        <w:t>仪器自带数据存储功能，可存储3000例以上的病人数据和质控数据，</w:t>
      </w:r>
      <w:r>
        <w:rPr>
          <w:rFonts w:ascii="楷体" w:hAnsi="楷体" w:eastAsia="楷体"/>
          <w:bCs/>
          <w:sz w:val="24"/>
          <w:highlight w:val="none"/>
        </w:rPr>
        <w:t>并带有标准CD刻录机，无限量地增加数据存储量</w:t>
      </w:r>
      <w:r>
        <w:rPr>
          <w:rFonts w:ascii="楷体" w:hAnsi="楷体" w:eastAsia="楷体"/>
          <w:sz w:val="24"/>
          <w:highlight w:val="none"/>
        </w:rPr>
        <w:t>。</w:t>
      </w:r>
    </w:p>
    <w:sectPr>
      <w:headerReference r:id="rId3" w:type="default"/>
      <w:pgSz w:w="11906" w:h="16838"/>
      <w:pgMar w:top="879" w:right="586" w:bottom="414" w:left="10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172A27"/>
    <w:rsid w:val="00172A27"/>
    <w:rsid w:val="00335973"/>
    <w:rsid w:val="00425657"/>
    <w:rsid w:val="004D0272"/>
    <w:rsid w:val="00566771"/>
    <w:rsid w:val="008E6772"/>
    <w:rsid w:val="00DF7884"/>
    <w:rsid w:val="0D45259D"/>
    <w:rsid w:val="122B2510"/>
    <w:rsid w:val="13D76E8E"/>
    <w:rsid w:val="1FB44D91"/>
    <w:rsid w:val="2EC65ACD"/>
    <w:rsid w:val="3BA12A1C"/>
    <w:rsid w:val="4D1A1A4A"/>
    <w:rsid w:val="50B7186C"/>
    <w:rsid w:val="5ED723F9"/>
    <w:rsid w:val="785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uiPriority w:val="0"/>
    <w:pPr>
      <w:shd w:val="clear" w:color="auto" w:fill="00008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 Char"/>
    <w:basedOn w:val="1"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176</Words>
  <Characters>1008</Characters>
  <Lines>8</Lines>
  <Paragraphs>2</Paragraphs>
  <TotalTime>1</TotalTime>
  <ScaleCrop>false</ScaleCrop>
  <LinksUpToDate>false</LinksUpToDate>
  <CharactersWithSpaces>1182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2015-12-12T14:43:00Z</dcterms:created>
  <dc:creator>M</dc:creator>
  <cp:lastModifiedBy>WPS_1476237549</cp:lastModifiedBy>
  <cp:lastPrinted>2004-07-28T08:44:00Z</cp:lastPrinted>
  <dcterms:modified xsi:type="dcterms:W3CDTF">2023-09-07T04:53:54Z</dcterms:modified>
  <dc:title>技术规格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A0D338C3BCB34795B5D6A78EEE4B6D2A_13</vt:lpwstr>
  </property>
</Properties>
</file>