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206EA">
      <w:pPr>
        <w:widowControl/>
        <w:spacing w:line="360" w:lineRule="auto"/>
        <w:jc w:val="center"/>
        <w:rPr>
          <w:rFonts w:hint="eastAsia" w:ascii="宋体" w:hAnsi="宋体" w:eastAsia="宋体"/>
          <w:b/>
          <w:bCs/>
          <w:sz w:val="36"/>
          <w:szCs w:val="36"/>
        </w:rPr>
      </w:pPr>
      <w:bookmarkStart w:id="0" w:name="_Hlk179836464"/>
      <w:bookmarkStart w:id="1" w:name="_Toc88235625"/>
      <w:r>
        <w:rPr>
          <w:rFonts w:hint="eastAsia" w:ascii="宋体" w:hAnsi="宋体" w:eastAsia="宋体"/>
          <w:b/>
          <w:bCs/>
          <w:sz w:val="36"/>
          <w:szCs w:val="36"/>
          <w:lang w:val="en-US" w:eastAsia="zh-CN"/>
        </w:rPr>
        <w:t>桂平市人民医院采购</w:t>
      </w:r>
      <w:r>
        <w:rPr>
          <w:rFonts w:hint="eastAsia" w:ascii="宋体" w:hAnsi="宋体" w:eastAsia="宋体"/>
          <w:b/>
          <w:bCs/>
          <w:sz w:val="36"/>
          <w:szCs w:val="36"/>
        </w:rPr>
        <w:t>合同管理系统</w:t>
      </w:r>
      <w:bookmarkEnd w:id="0"/>
      <w:r>
        <w:rPr>
          <w:rFonts w:hint="eastAsia" w:ascii="宋体" w:hAnsi="宋体" w:eastAsia="宋体"/>
          <w:b/>
          <w:bCs/>
          <w:sz w:val="36"/>
          <w:szCs w:val="36"/>
        </w:rPr>
        <w:t>项目</w:t>
      </w:r>
    </w:p>
    <w:p w14:paraId="4000298E">
      <w:pPr>
        <w:widowControl/>
        <w:jc w:val="center"/>
        <w:rPr>
          <w:rFonts w:ascii="宋体" w:hAnsi="宋体" w:eastAsia="宋体"/>
          <w:b/>
          <w:bCs/>
          <w:sz w:val="52"/>
          <w:szCs w:val="52"/>
        </w:rPr>
      </w:pPr>
      <w:r>
        <w:rPr>
          <w:rFonts w:hint="eastAsia" w:ascii="宋体" w:hAnsi="宋体" w:eastAsia="宋体"/>
          <w:b/>
          <w:bCs/>
          <w:sz w:val="52"/>
          <w:szCs w:val="52"/>
        </w:rPr>
        <w:t>采购需求</w:t>
      </w:r>
    </w:p>
    <w:p w14:paraId="43C6094D">
      <w:pPr>
        <w:widowControl/>
        <w:rPr>
          <w:rFonts w:ascii="宋体" w:hAnsi="宋体" w:eastAsia="宋体"/>
          <w:b/>
          <w:bCs/>
          <w:sz w:val="36"/>
          <w:szCs w:val="36"/>
        </w:rPr>
      </w:pPr>
    </w:p>
    <w:p w14:paraId="15C5E4D1">
      <w:pPr>
        <w:widowControl/>
        <w:ind w:firstLine="723" w:firstLineChars="200"/>
        <w:rPr>
          <w:rFonts w:ascii="宋体" w:hAnsi="宋体" w:eastAsia="宋体"/>
          <w:b/>
          <w:bCs/>
          <w:sz w:val="36"/>
          <w:szCs w:val="36"/>
        </w:rPr>
      </w:pPr>
      <w:r>
        <w:rPr>
          <w:rFonts w:hint="eastAsia" w:ascii="宋体" w:hAnsi="宋体" w:eastAsia="宋体"/>
          <w:b/>
          <w:bCs/>
          <w:sz w:val="36"/>
          <w:szCs w:val="36"/>
        </w:rPr>
        <w:t>1、项目总体要求</w:t>
      </w:r>
    </w:p>
    <w:p w14:paraId="531E607B">
      <w:pPr>
        <w:widowControl/>
        <w:spacing w:line="360" w:lineRule="auto"/>
        <w:ind w:firstLine="480" w:firstLineChars="200"/>
        <w:contextualSpacing/>
        <w:rPr>
          <w:rFonts w:ascii="宋体" w:hAnsi="宋体"/>
          <w:sz w:val="24"/>
          <w:szCs w:val="24"/>
        </w:rPr>
      </w:pPr>
      <w:r>
        <w:rPr>
          <w:rFonts w:hint="eastAsia" w:ascii="宋体" w:hAnsi="宋体"/>
          <w:sz w:val="24"/>
          <w:szCs w:val="24"/>
        </w:rPr>
        <w:t>（1）为提高医院内部管理水平，便于更好服务于患者，医院决定增加采购经济合同管理系统模块。</w:t>
      </w:r>
    </w:p>
    <w:p w14:paraId="4FFF6F8F">
      <w:pPr>
        <w:widowControl/>
        <w:spacing w:line="360" w:lineRule="auto"/>
        <w:ind w:firstLine="480" w:firstLineChars="200"/>
        <w:contextualSpacing/>
        <w:rPr>
          <w:rFonts w:ascii="宋体" w:hAnsi="宋体"/>
          <w:sz w:val="24"/>
          <w:szCs w:val="24"/>
        </w:rPr>
      </w:pPr>
      <w:r>
        <w:rPr>
          <w:rFonts w:hint="eastAsia" w:ascii="宋体" w:hAnsi="宋体"/>
          <w:sz w:val="24"/>
          <w:szCs w:val="24"/>
        </w:rPr>
        <w:t>（2）增加采购的经济合同管理模块满足于HRP系统整体化建设要求，采用一体化业务系统设计，各子系统可集成为统一平台，各个模块与医院HRP平台实现模块化接入，单点登录，统一授权，即插即用。</w:t>
      </w:r>
      <w:bookmarkStart w:id="2" w:name="_Toc164268722"/>
    </w:p>
    <w:p w14:paraId="071AFF10">
      <w:pPr>
        <w:widowControl/>
        <w:ind w:firstLine="723" w:firstLineChars="200"/>
        <w:rPr>
          <w:rFonts w:hint="eastAsia" w:ascii="宋体" w:hAnsi="宋体" w:eastAsia="宋体"/>
          <w:b/>
          <w:bCs/>
          <w:sz w:val="36"/>
          <w:szCs w:val="36"/>
        </w:rPr>
      </w:pPr>
      <w:r>
        <w:rPr>
          <w:rFonts w:hint="eastAsia" w:ascii="宋体" w:hAnsi="宋体" w:eastAsia="宋体"/>
          <w:b/>
          <w:bCs/>
          <w:sz w:val="36"/>
          <w:szCs w:val="36"/>
        </w:rPr>
        <w:t>2、HRP一体化</w:t>
      </w:r>
      <w:bookmarkEnd w:id="2"/>
      <w:r>
        <w:rPr>
          <w:rFonts w:hint="eastAsia" w:ascii="宋体" w:hAnsi="宋体" w:eastAsia="宋体"/>
          <w:b/>
          <w:bCs/>
          <w:sz w:val="36"/>
          <w:szCs w:val="36"/>
        </w:rPr>
        <w:t>设计</w:t>
      </w:r>
    </w:p>
    <w:p w14:paraId="78F9FC31">
      <w:pPr>
        <w:widowControl/>
        <w:spacing w:line="360" w:lineRule="auto"/>
        <w:ind w:firstLine="480" w:firstLineChars="200"/>
        <w:contextualSpacing/>
        <w:rPr>
          <w:rFonts w:ascii="宋体" w:hAnsi="宋体"/>
          <w:sz w:val="24"/>
          <w:szCs w:val="24"/>
        </w:rPr>
      </w:pPr>
      <w:r>
        <w:rPr>
          <w:rFonts w:hint="eastAsia" w:ascii="宋体" w:hAnsi="宋体"/>
          <w:sz w:val="24"/>
          <w:szCs w:val="24"/>
        </w:rPr>
        <w:t>（1）实现合同招标过程管理与预算一体化应用，预算系统的执行申请单同步至合同管理系统，依据预算执行申请填制采购意向、招标公告、采购议价与中标公示，基于预算进行合同招标全过程管理。</w:t>
      </w:r>
    </w:p>
    <w:p w14:paraId="6A1F74B9">
      <w:pPr>
        <w:widowControl/>
        <w:spacing w:line="360" w:lineRule="auto"/>
        <w:ind w:firstLine="480" w:firstLineChars="200"/>
        <w:contextualSpacing/>
        <w:rPr>
          <w:rFonts w:ascii="宋体" w:hAnsi="宋体"/>
          <w:sz w:val="24"/>
          <w:szCs w:val="24"/>
        </w:rPr>
      </w:pPr>
      <w:r>
        <w:rPr>
          <w:rFonts w:hint="eastAsia" w:ascii="宋体" w:hAnsi="宋体"/>
          <w:sz w:val="24"/>
          <w:szCs w:val="24"/>
        </w:rPr>
        <w:t>（2）合同签订与预算一体化应用：支持根据设置的控制规则，合同登记审批时关联预算执行申请单，实现预算事前控制。</w:t>
      </w:r>
    </w:p>
    <w:p w14:paraId="13F5F297">
      <w:pPr>
        <w:widowControl/>
        <w:spacing w:line="360" w:lineRule="auto"/>
        <w:ind w:firstLine="480" w:firstLineChars="200"/>
        <w:contextualSpacing/>
        <w:rPr>
          <w:rFonts w:ascii="宋体" w:hAnsi="宋体"/>
          <w:sz w:val="24"/>
          <w:szCs w:val="24"/>
        </w:rPr>
      </w:pPr>
      <w:r>
        <w:rPr>
          <w:rFonts w:hint="eastAsia" w:ascii="宋体" w:hAnsi="宋体"/>
          <w:sz w:val="24"/>
          <w:szCs w:val="24"/>
        </w:rPr>
        <w:t>（3）</w:t>
      </w:r>
      <w:r>
        <w:rPr>
          <w:rFonts w:ascii="宋体" w:hAnsi="宋体"/>
          <w:sz w:val="24"/>
          <w:szCs w:val="24"/>
        </w:rPr>
        <w:t>合同结算与预算</w:t>
      </w:r>
      <w:r>
        <w:rPr>
          <w:rFonts w:hint="eastAsia" w:ascii="宋体" w:hAnsi="宋体"/>
          <w:sz w:val="24"/>
          <w:szCs w:val="24"/>
        </w:rPr>
        <w:t>、</w:t>
      </w:r>
      <w:r>
        <w:rPr>
          <w:rFonts w:ascii="宋体" w:hAnsi="宋体"/>
          <w:sz w:val="24"/>
          <w:szCs w:val="24"/>
        </w:rPr>
        <w:t>资金支出管控一体化应用</w:t>
      </w:r>
      <w:r>
        <w:rPr>
          <w:rFonts w:hint="eastAsia" w:ascii="宋体" w:hAnsi="宋体"/>
          <w:sz w:val="24"/>
          <w:szCs w:val="24"/>
        </w:rPr>
        <w:t>：支持资金支出管控系统、全面预算管理系统引用合同信息，同时将合同结算数据自动同步至合同管理系统。</w:t>
      </w:r>
      <w:bookmarkStart w:id="3" w:name="_Toc88235533"/>
      <w:bookmarkStart w:id="4" w:name="_Toc164268708"/>
    </w:p>
    <w:p w14:paraId="5EFD2802">
      <w:pPr>
        <w:widowControl/>
        <w:ind w:firstLine="723" w:firstLineChars="200"/>
        <w:rPr>
          <w:rFonts w:ascii="宋体" w:hAnsi="宋体" w:eastAsia="宋体"/>
          <w:b/>
          <w:bCs/>
          <w:sz w:val="36"/>
          <w:szCs w:val="36"/>
        </w:rPr>
      </w:pPr>
      <w:r>
        <w:rPr>
          <w:rFonts w:hint="eastAsia" w:ascii="宋体" w:hAnsi="宋体" w:eastAsia="宋体"/>
          <w:b/>
          <w:bCs/>
          <w:sz w:val="36"/>
          <w:szCs w:val="36"/>
        </w:rPr>
        <w:t>3、经济合同管理系统</w:t>
      </w:r>
      <w:bookmarkEnd w:id="3"/>
      <w:bookmarkEnd w:id="4"/>
      <w:bookmarkStart w:id="5" w:name="_Toc164263141"/>
      <w:bookmarkEnd w:id="5"/>
      <w:bookmarkStart w:id="6" w:name="_Toc87257053"/>
      <w:bookmarkEnd w:id="6"/>
      <w:bookmarkStart w:id="7" w:name="_Toc137720097"/>
      <w:bookmarkEnd w:id="7"/>
      <w:bookmarkStart w:id="8" w:name="_Toc137733080"/>
      <w:bookmarkEnd w:id="8"/>
      <w:bookmarkStart w:id="9" w:name="_Toc137720846"/>
      <w:bookmarkEnd w:id="9"/>
      <w:bookmarkStart w:id="10" w:name="_Toc138779886"/>
      <w:bookmarkEnd w:id="10"/>
      <w:bookmarkStart w:id="11" w:name="_Toc138780090"/>
      <w:bookmarkEnd w:id="11"/>
      <w:bookmarkStart w:id="12" w:name="_Toc88235534"/>
      <w:r>
        <w:rPr>
          <w:rFonts w:hint="eastAsia" w:ascii="宋体" w:hAnsi="宋体" w:eastAsia="宋体"/>
          <w:b/>
          <w:bCs/>
          <w:sz w:val="36"/>
          <w:szCs w:val="36"/>
        </w:rPr>
        <w:t>功能需求</w:t>
      </w:r>
      <w:bookmarkStart w:id="13" w:name="_Toc164268709"/>
    </w:p>
    <w:p w14:paraId="32FE832E">
      <w:pPr>
        <w:widowControl/>
        <w:spacing w:line="360" w:lineRule="auto"/>
        <w:ind w:firstLine="602" w:firstLineChars="200"/>
        <w:contextualSpacing/>
        <w:rPr>
          <w:rFonts w:hint="eastAsia" w:ascii="宋体" w:hAnsi="宋体"/>
          <w:b/>
          <w:bCs/>
          <w:sz w:val="30"/>
          <w:szCs w:val="30"/>
        </w:rPr>
      </w:pPr>
      <w:r>
        <w:rPr>
          <w:rFonts w:hint="eastAsia" w:ascii="宋体" w:hAnsi="宋体"/>
          <w:b/>
          <w:bCs/>
          <w:sz w:val="30"/>
          <w:szCs w:val="30"/>
        </w:rPr>
        <w:t>（1）基础设置</w:t>
      </w:r>
      <w:bookmarkEnd w:id="12"/>
      <w:bookmarkEnd w:id="13"/>
      <w:r>
        <w:rPr>
          <w:rFonts w:hint="eastAsia" w:ascii="宋体" w:hAnsi="宋体"/>
          <w:b/>
          <w:bCs/>
          <w:sz w:val="30"/>
          <w:szCs w:val="30"/>
        </w:rPr>
        <w:t xml:space="preserve"> </w:t>
      </w:r>
    </w:p>
    <w:p w14:paraId="1434C987">
      <w:pPr>
        <w:widowControl/>
        <w:spacing w:line="360" w:lineRule="auto"/>
        <w:ind w:firstLine="480" w:firstLineChars="200"/>
        <w:contextualSpacing/>
        <w:rPr>
          <w:rFonts w:ascii="宋体" w:hAnsi="宋体"/>
          <w:sz w:val="24"/>
          <w:szCs w:val="24"/>
        </w:rPr>
      </w:pPr>
      <w:r>
        <w:rPr>
          <w:rFonts w:hint="eastAsia" w:ascii="宋体" w:hAnsi="宋体"/>
          <w:sz w:val="24"/>
          <w:szCs w:val="24"/>
        </w:rPr>
        <w:t xml:space="preserve">1）支持对合同类别进行设置，根据管理要求不同，设置不同类别。 </w:t>
      </w:r>
    </w:p>
    <w:p w14:paraId="0D419192">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2）支持打印管理，可以按录入人、审批状态、打印次数设置打印要求。 </w:t>
      </w:r>
    </w:p>
    <w:p w14:paraId="277A439D">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3）支持灵活的流程配置功能，流程的起点、流转、分支和结束均可以灵活配置，各个审批的权限、金额、范围和驳回的路径均可以自由定义，满足医院个性化复杂流程建立的需要。 </w:t>
      </w:r>
    </w:p>
    <w:p w14:paraId="1880B302">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4）支持合同模板配置功能，可以根据需要选择和调整单据的栏目、格式，满足医院个性化的合同模板需要。 </w:t>
      </w:r>
    </w:p>
    <w:p w14:paraId="1C600675">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5）合同类型权限设置：支持针对已定义的合同类型按类型授权给对应角色或用户，用户仅能新增被授权的合同类型。</w:t>
      </w:r>
    </w:p>
    <w:p w14:paraId="179775CC">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6）</w:t>
      </w:r>
      <w:r>
        <w:rPr>
          <w:rFonts w:ascii="宋体" w:hAnsi="宋体"/>
          <w:sz w:val="24"/>
          <w:szCs w:val="24"/>
        </w:rPr>
        <w:t>支持针对不同的合同类型配置自定义流程节点</w:t>
      </w:r>
      <w:r>
        <w:rPr>
          <w:rFonts w:hint="eastAsia" w:ascii="宋体" w:hAnsi="宋体"/>
          <w:sz w:val="24"/>
          <w:szCs w:val="24"/>
        </w:rPr>
        <w:t>，满足不同类型合同的个性化节点管理需求。</w:t>
      </w:r>
    </w:p>
    <w:p w14:paraId="288EDD97">
      <w:pPr>
        <w:widowControl/>
        <w:spacing w:line="360" w:lineRule="auto"/>
        <w:ind w:firstLine="602" w:firstLineChars="200"/>
        <w:contextualSpacing/>
        <w:rPr>
          <w:rFonts w:hint="eastAsia" w:ascii="宋体" w:hAnsi="宋体"/>
          <w:b/>
          <w:bCs/>
          <w:sz w:val="30"/>
          <w:szCs w:val="30"/>
        </w:rPr>
      </w:pPr>
      <w:bookmarkStart w:id="14" w:name="_Toc88235535"/>
      <w:bookmarkStart w:id="15" w:name="_Toc164268710"/>
      <w:r>
        <w:rPr>
          <w:rFonts w:hint="eastAsia" w:ascii="宋体" w:hAnsi="宋体"/>
          <w:b/>
          <w:bCs/>
          <w:sz w:val="30"/>
          <w:szCs w:val="30"/>
        </w:rPr>
        <w:t>（2）合同期初</w:t>
      </w:r>
      <w:bookmarkEnd w:id="14"/>
      <w:bookmarkEnd w:id="15"/>
      <w:r>
        <w:rPr>
          <w:rFonts w:hint="eastAsia" w:ascii="宋体" w:hAnsi="宋体"/>
          <w:b/>
          <w:bCs/>
          <w:sz w:val="30"/>
          <w:szCs w:val="30"/>
        </w:rPr>
        <w:t xml:space="preserve"> </w:t>
      </w:r>
    </w:p>
    <w:p w14:paraId="0BD7B277">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1）支持已签订的合同进行电子化管理。 </w:t>
      </w:r>
    </w:p>
    <w:p w14:paraId="6CE63314">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2）支持未完成结算的合同进行结算计划管理。 </w:t>
      </w:r>
    </w:p>
    <w:p w14:paraId="56427AC7">
      <w:pPr>
        <w:widowControl/>
        <w:spacing w:line="360" w:lineRule="auto"/>
        <w:ind w:firstLine="602" w:firstLineChars="200"/>
        <w:contextualSpacing/>
        <w:rPr>
          <w:rFonts w:hint="eastAsia" w:ascii="宋体" w:hAnsi="宋体"/>
          <w:b/>
          <w:bCs/>
          <w:sz w:val="30"/>
          <w:szCs w:val="30"/>
        </w:rPr>
      </w:pPr>
      <w:bookmarkStart w:id="16" w:name="_Toc88235536"/>
      <w:bookmarkStart w:id="17" w:name="_Toc164268711"/>
      <w:r>
        <w:rPr>
          <w:rFonts w:hint="eastAsia" w:ascii="宋体" w:hAnsi="宋体"/>
          <w:b/>
          <w:bCs/>
          <w:sz w:val="30"/>
          <w:szCs w:val="30"/>
        </w:rPr>
        <w:t>（3）</w:t>
      </w:r>
      <w:r>
        <w:rPr>
          <w:rFonts w:ascii="宋体" w:hAnsi="宋体"/>
          <w:b/>
          <w:bCs/>
          <w:sz w:val="30"/>
          <w:szCs w:val="30"/>
        </w:rPr>
        <w:t>招标管理</w:t>
      </w:r>
      <w:bookmarkEnd w:id="16"/>
      <w:bookmarkEnd w:id="17"/>
    </w:p>
    <w:p w14:paraId="4F6D0F84">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支持采购招投标过程管理，关联预算，进行采购意向书、招标公告与中标告示的全过程管理。</w:t>
      </w:r>
    </w:p>
    <w:p w14:paraId="25F91206">
      <w:pPr>
        <w:widowControl/>
        <w:spacing w:line="360" w:lineRule="auto"/>
        <w:ind w:firstLine="602" w:firstLineChars="200"/>
        <w:contextualSpacing/>
        <w:rPr>
          <w:rFonts w:hint="eastAsia" w:ascii="宋体" w:hAnsi="宋体"/>
          <w:b/>
          <w:bCs/>
          <w:sz w:val="30"/>
          <w:szCs w:val="30"/>
        </w:rPr>
      </w:pPr>
      <w:bookmarkStart w:id="18" w:name="_Toc88235537"/>
      <w:bookmarkStart w:id="19" w:name="_Toc164268712"/>
      <w:r>
        <w:rPr>
          <w:rFonts w:hint="eastAsia" w:ascii="宋体" w:hAnsi="宋体"/>
          <w:b/>
          <w:bCs/>
          <w:sz w:val="30"/>
          <w:szCs w:val="30"/>
        </w:rPr>
        <w:t>（4）</w:t>
      </w:r>
      <w:r>
        <w:rPr>
          <w:rFonts w:ascii="宋体" w:hAnsi="宋体"/>
          <w:b/>
          <w:bCs/>
          <w:sz w:val="30"/>
          <w:szCs w:val="30"/>
        </w:rPr>
        <w:t>合同审阅</w:t>
      </w:r>
      <w:bookmarkEnd w:id="18"/>
      <w:bookmarkEnd w:id="19"/>
    </w:p>
    <w:p w14:paraId="5F352634">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1）支持按照合同类型上传合同模板，系统自动登记合同模板历史记录，便于合同模板变更追溯管理。</w:t>
      </w:r>
    </w:p>
    <w:p w14:paraId="1507714F">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2）</w:t>
      </w:r>
      <w:r>
        <w:rPr>
          <w:rFonts w:ascii="宋体" w:hAnsi="宋体"/>
          <w:sz w:val="24"/>
          <w:szCs w:val="24"/>
        </w:rPr>
        <w:t>支持调用合同模板或者直接上传合同进行在线起草签阅</w:t>
      </w:r>
      <w:r>
        <w:rPr>
          <w:rFonts w:hint="eastAsia" w:ascii="宋体" w:hAnsi="宋体"/>
          <w:sz w:val="24"/>
          <w:szCs w:val="24"/>
        </w:rPr>
        <w:t>。</w:t>
      </w:r>
    </w:p>
    <w:p w14:paraId="5992A410">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3）</w:t>
      </w:r>
      <w:r>
        <w:rPr>
          <w:rFonts w:ascii="宋体" w:hAnsi="宋体"/>
          <w:sz w:val="24"/>
          <w:szCs w:val="24"/>
        </w:rPr>
        <w:t>支持自定义合同签阅审批流程</w:t>
      </w:r>
      <w:r>
        <w:rPr>
          <w:rFonts w:hint="eastAsia" w:ascii="宋体" w:hAnsi="宋体"/>
          <w:sz w:val="24"/>
          <w:szCs w:val="24"/>
        </w:rPr>
        <w:t>。</w:t>
      </w:r>
    </w:p>
    <w:p w14:paraId="69ACD4C6">
      <w:pPr>
        <w:widowControl/>
        <w:spacing w:line="360" w:lineRule="auto"/>
        <w:ind w:firstLine="602" w:firstLineChars="200"/>
        <w:contextualSpacing/>
        <w:rPr>
          <w:rFonts w:hint="eastAsia" w:ascii="宋体" w:hAnsi="宋体"/>
          <w:b/>
          <w:bCs/>
          <w:sz w:val="30"/>
          <w:szCs w:val="30"/>
        </w:rPr>
      </w:pPr>
      <w:bookmarkStart w:id="20" w:name="_Toc88235538"/>
      <w:bookmarkStart w:id="21" w:name="_Toc164268713"/>
      <w:r>
        <w:rPr>
          <w:rFonts w:hint="eastAsia" w:ascii="宋体" w:hAnsi="宋体"/>
          <w:b/>
          <w:bCs/>
          <w:sz w:val="30"/>
          <w:szCs w:val="30"/>
        </w:rPr>
        <w:t>（5）合同签订</w:t>
      </w:r>
      <w:bookmarkEnd w:id="20"/>
      <w:bookmarkEnd w:id="21"/>
      <w:r>
        <w:rPr>
          <w:rFonts w:hint="eastAsia" w:ascii="宋体" w:hAnsi="宋体"/>
          <w:b/>
          <w:bCs/>
          <w:sz w:val="30"/>
          <w:szCs w:val="30"/>
        </w:rPr>
        <w:t xml:space="preserve"> </w:t>
      </w:r>
    </w:p>
    <w:p w14:paraId="266B9D67">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1）合同登记：支持登记合同基本要素，记录合同标的明细、收付款计划、预算信息、附件文本信息。 </w:t>
      </w:r>
    </w:p>
    <w:p w14:paraId="09823A5C">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2）预算关联：支持根据设置的控制规则，合同登记审批时关联预算执行申请单，实现预算事前控制。 </w:t>
      </w:r>
    </w:p>
    <w:p w14:paraId="640588E7">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3）合同审核：支持合同保存成功后发起人可将单据提交至已配置好的审批流程中进行审批，审核过程中可进行处理意见批复、流程追踪、附件在线批阅、合同定稿、电子签章。</w:t>
      </w:r>
    </w:p>
    <w:p w14:paraId="4361E993">
      <w:pPr>
        <w:widowControl/>
        <w:spacing w:line="360" w:lineRule="auto"/>
        <w:ind w:firstLine="602" w:firstLineChars="200"/>
        <w:contextualSpacing/>
        <w:rPr>
          <w:rFonts w:hint="eastAsia" w:ascii="宋体" w:hAnsi="宋体"/>
          <w:b/>
          <w:bCs/>
          <w:sz w:val="30"/>
          <w:szCs w:val="30"/>
        </w:rPr>
      </w:pPr>
      <w:bookmarkStart w:id="22" w:name="_Toc164268714"/>
      <w:bookmarkStart w:id="23" w:name="_Toc88235539"/>
      <w:r>
        <w:rPr>
          <w:rFonts w:hint="eastAsia" w:ascii="宋体" w:hAnsi="宋体"/>
          <w:b/>
          <w:bCs/>
          <w:sz w:val="30"/>
          <w:szCs w:val="30"/>
        </w:rPr>
        <w:t>（6）合同续签</w:t>
      </w:r>
      <w:bookmarkEnd w:id="22"/>
      <w:bookmarkEnd w:id="23"/>
      <w:r>
        <w:rPr>
          <w:rFonts w:hint="eastAsia" w:ascii="宋体" w:hAnsi="宋体"/>
          <w:b/>
          <w:bCs/>
          <w:sz w:val="30"/>
          <w:szCs w:val="30"/>
        </w:rPr>
        <w:t xml:space="preserve"> </w:t>
      </w:r>
    </w:p>
    <w:p w14:paraId="1E4A7636">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1）支持已签订到期合同进行续签，减少基础信息录入工作量。 </w:t>
      </w:r>
    </w:p>
    <w:p w14:paraId="29A5A5DF">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2）支持自定义续签合同的审批流程。</w:t>
      </w:r>
    </w:p>
    <w:p w14:paraId="52D934F3">
      <w:pPr>
        <w:widowControl/>
        <w:spacing w:line="360" w:lineRule="auto"/>
        <w:ind w:firstLine="602" w:firstLineChars="200"/>
        <w:contextualSpacing/>
        <w:rPr>
          <w:rFonts w:hint="eastAsia" w:ascii="宋体" w:hAnsi="宋体"/>
          <w:b/>
          <w:bCs/>
          <w:sz w:val="30"/>
          <w:szCs w:val="30"/>
        </w:rPr>
      </w:pPr>
      <w:bookmarkStart w:id="24" w:name="_Toc88235540"/>
      <w:bookmarkStart w:id="25" w:name="_Toc164268715"/>
      <w:r>
        <w:rPr>
          <w:rFonts w:hint="eastAsia" w:ascii="宋体" w:hAnsi="宋体"/>
          <w:b/>
          <w:bCs/>
          <w:sz w:val="30"/>
          <w:szCs w:val="30"/>
        </w:rPr>
        <w:t>（7）合同变更</w:t>
      </w:r>
      <w:bookmarkEnd w:id="24"/>
      <w:bookmarkEnd w:id="25"/>
      <w:r>
        <w:rPr>
          <w:rFonts w:hint="eastAsia" w:ascii="宋体" w:hAnsi="宋体"/>
          <w:b/>
          <w:bCs/>
          <w:sz w:val="30"/>
          <w:szCs w:val="30"/>
        </w:rPr>
        <w:t xml:space="preserve"> </w:t>
      </w:r>
    </w:p>
    <w:p w14:paraId="71D13F6B">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1）支持合同执行过程中对约定的合同内容发生更改，可选择特定变更类型，执行变更操作，对相关信息进行更改。</w:t>
      </w:r>
    </w:p>
    <w:p w14:paraId="037AD05B">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2）支持自动生成变更记录，方便管理者查询。 </w:t>
      </w:r>
    </w:p>
    <w:p w14:paraId="1997D681">
      <w:pPr>
        <w:widowControl/>
        <w:spacing w:line="360" w:lineRule="auto"/>
        <w:ind w:firstLine="602" w:firstLineChars="200"/>
        <w:contextualSpacing/>
        <w:rPr>
          <w:rFonts w:hint="eastAsia" w:ascii="宋体" w:hAnsi="宋体"/>
          <w:b/>
          <w:bCs/>
          <w:sz w:val="30"/>
          <w:szCs w:val="30"/>
        </w:rPr>
      </w:pPr>
      <w:bookmarkStart w:id="26" w:name="_Toc88235541"/>
      <w:bookmarkStart w:id="27" w:name="_Toc164268716"/>
      <w:r>
        <w:rPr>
          <w:rFonts w:hint="eastAsia" w:ascii="宋体" w:hAnsi="宋体"/>
          <w:b/>
          <w:bCs/>
          <w:sz w:val="30"/>
          <w:szCs w:val="30"/>
        </w:rPr>
        <w:t>（8）合同冻结</w:t>
      </w:r>
      <w:bookmarkEnd w:id="26"/>
      <w:bookmarkEnd w:id="27"/>
      <w:r>
        <w:rPr>
          <w:rFonts w:hint="eastAsia" w:ascii="宋体" w:hAnsi="宋体"/>
          <w:b/>
          <w:bCs/>
          <w:sz w:val="30"/>
          <w:szCs w:val="30"/>
        </w:rPr>
        <w:t xml:space="preserve"> </w:t>
      </w:r>
    </w:p>
    <w:p w14:paraId="710CC31D">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1）在合同执行过程中，产生不良事件时，管理者可以申请冻结合同。 </w:t>
      </w:r>
    </w:p>
    <w:p w14:paraId="11A62ED7">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2）支持合同冻结后，所有与该合同关联的事项，系统均不允许执行。 </w:t>
      </w:r>
    </w:p>
    <w:p w14:paraId="2F5FB8F6">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3）支持当不良事件处理完成后，冻结合同可以申请解除冻结，继续执行。 </w:t>
      </w:r>
    </w:p>
    <w:p w14:paraId="06477A74">
      <w:pPr>
        <w:widowControl/>
        <w:spacing w:line="360" w:lineRule="auto"/>
        <w:ind w:firstLine="602" w:firstLineChars="200"/>
        <w:contextualSpacing/>
        <w:rPr>
          <w:rFonts w:hint="eastAsia" w:ascii="宋体" w:hAnsi="宋体"/>
          <w:b/>
          <w:bCs/>
          <w:sz w:val="30"/>
          <w:szCs w:val="30"/>
        </w:rPr>
      </w:pPr>
      <w:bookmarkStart w:id="28" w:name="_Toc164268717"/>
      <w:bookmarkStart w:id="29" w:name="_Toc88235542"/>
      <w:r>
        <w:rPr>
          <w:rFonts w:hint="eastAsia" w:ascii="宋体" w:hAnsi="宋体"/>
          <w:b/>
          <w:bCs/>
          <w:sz w:val="30"/>
          <w:szCs w:val="30"/>
        </w:rPr>
        <w:t>（9）合同终止</w:t>
      </w:r>
      <w:bookmarkEnd w:id="28"/>
      <w:bookmarkEnd w:id="29"/>
      <w:r>
        <w:rPr>
          <w:rFonts w:hint="eastAsia" w:ascii="宋体" w:hAnsi="宋体"/>
          <w:b/>
          <w:bCs/>
          <w:sz w:val="30"/>
          <w:szCs w:val="30"/>
        </w:rPr>
        <w:t xml:space="preserve"> </w:t>
      </w:r>
    </w:p>
    <w:p w14:paraId="7F3179BF">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1）支持到期合同进行终止管理。 </w:t>
      </w:r>
    </w:p>
    <w:p w14:paraId="28188AC6">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2）支持合同提前终止，记录终止原因。 </w:t>
      </w:r>
    </w:p>
    <w:p w14:paraId="5090A778">
      <w:pPr>
        <w:widowControl/>
        <w:spacing w:line="360" w:lineRule="auto"/>
        <w:ind w:firstLine="602" w:firstLineChars="200"/>
        <w:contextualSpacing/>
        <w:rPr>
          <w:rFonts w:hint="eastAsia" w:ascii="宋体" w:hAnsi="宋体"/>
          <w:b/>
          <w:bCs/>
          <w:sz w:val="30"/>
          <w:szCs w:val="30"/>
        </w:rPr>
      </w:pPr>
      <w:bookmarkStart w:id="30" w:name="_Toc164268718"/>
      <w:bookmarkStart w:id="31" w:name="_Toc88235543"/>
      <w:r>
        <w:rPr>
          <w:rFonts w:hint="eastAsia" w:ascii="宋体" w:hAnsi="宋体"/>
          <w:b/>
          <w:bCs/>
          <w:sz w:val="30"/>
          <w:szCs w:val="30"/>
        </w:rPr>
        <w:t>（10）合同结算</w:t>
      </w:r>
      <w:bookmarkEnd w:id="30"/>
      <w:bookmarkEnd w:id="31"/>
      <w:r>
        <w:rPr>
          <w:rFonts w:hint="eastAsia" w:ascii="宋体" w:hAnsi="宋体"/>
          <w:b/>
          <w:bCs/>
          <w:sz w:val="30"/>
          <w:szCs w:val="30"/>
        </w:rPr>
        <w:t xml:space="preserve"> </w:t>
      </w:r>
    </w:p>
    <w:p w14:paraId="587582C1">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1）支持资金支出管控系统、全面预算管理系统中的合同结算数据自动同步至合同管理系统。</w:t>
      </w:r>
    </w:p>
    <w:p w14:paraId="2F260FFD">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2）支持合同结算计划执行情况查询。</w:t>
      </w:r>
    </w:p>
    <w:p w14:paraId="624029A3">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3）支持结算计划调整送审。 </w:t>
      </w:r>
    </w:p>
    <w:p w14:paraId="528A2C0E">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支持结算计划批量调整送审</w:t>
      </w:r>
      <w:r>
        <w:rPr>
          <w:rFonts w:hint="eastAsia" w:ascii="宋体" w:hAnsi="宋体"/>
          <w:sz w:val="24"/>
          <w:szCs w:val="24"/>
        </w:rPr>
        <w:t>。</w:t>
      </w:r>
    </w:p>
    <w:p w14:paraId="19C8E6C3">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5）支持结算执行情况反馈至对应合同台账。 </w:t>
      </w:r>
    </w:p>
    <w:p w14:paraId="4B4979DE">
      <w:pPr>
        <w:widowControl/>
        <w:spacing w:line="360" w:lineRule="auto"/>
        <w:ind w:firstLine="602" w:firstLineChars="200"/>
        <w:contextualSpacing/>
        <w:rPr>
          <w:rFonts w:hint="eastAsia" w:ascii="宋体" w:hAnsi="宋体"/>
          <w:b/>
          <w:bCs/>
          <w:sz w:val="30"/>
          <w:szCs w:val="30"/>
        </w:rPr>
      </w:pPr>
      <w:bookmarkStart w:id="32" w:name="_Toc88235544"/>
      <w:bookmarkStart w:id="33" w:name="_Toc164268719"/>
      <w:r>
        <w:rPr>
          <w:rFonts w:hint="eastAsia" w:ascii="宋体" w:hAnsi="宋体"/>
          <w:b/>
          <w:bCs/>
          <w:sz w:val="30"/>
          <w:szCs w:val="30"/>
        </w:rPr>
        <w:t>（11）合同台账</w:t>
      </w:r>
      <w:bookmarkEnd w:id="32"/>
      <w:bookmarkEnd w:id="33"/>
      <w:r>
        <w:rPr>
          <w:rFonts w:hint="eastAsia" w:ascii="宋体" w:hAnsi="宋体"/>
          <w:b/>
          <w:bCs/>
          <w:sz w:val="30"/>
          <w:szCs w:val="30"/>
        </w:rPr>
        <w:t xml:space="preserve"> </w:t>
      </w:r>
    </w:p>
    <w:p w14:paraId="5CD507DF">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1）支持合同基础信息、标的信息、结算计划、变更记录查询。</w:t>
      </w:r>
    </w:p>
    <w:p w14:paraId="739BE820">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 xml:space="preserve">2）支持合同电子原件查看并下载。 </w:t>
      </w:r>
    </w:p>
    <w:p w14:paraId="3F2505F7">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3）支持结算进度查询。</w:t>
      </w:r>
    </w:p>
    <w:p w14:paraId="0A62B5C4">
      <w:pPr>
        <w:widowControl/>
        <w:spacing w:line="360" w:lineRule="auto"/>
        <w:ind w:firstLine="602" w:firstLineChars="200"/>
        <w:contextualSpacing/>
        <w:rPr>
          <w:rFonts w:hint="eastAsia" w:ascii="宋体" w:hAnsi="宋体"/>
          <w:b/>
          <w:bCs/>
          <w:sz w:val="30"/>
          <w:szCs w:val="30"/>
        </w:rPr>
      </w:pPr>
      <w:bookmarkStart w:id="34" w:name="_Toc88235545"/>
      <w:bookmarkStart w:id="35" w:name="_Toc164268720"/>
      <w:r>
        <w:rPr>
          <w:rFonts w:hint="eastAsia" w:ascii="宋体" w:hAnsi="宋体"/>
          <w:b/>
          <w:bCs/>
          <w:sz w:val="30"/>
          <w:szCs w:val="30"/>
        </w:rPr>
        <w:t>（12）合同提醒</w:t>
      </w:r>
      <w:bookmarkEnd w:id="34"/>
      <w:bookmarkEnd w:id="35"/>
      <w:r>
        <w:rPr>
          <w:rFonts w:hint="eastAsia" w:ascii="宋体" w:hAnsi="宋体"/>
          <w:b/>
          <w:bCs/>
          <w:sz w:val="30"/>
          <w:szCs w:val="30"/>
        </w:rPr>
        <w:t xml:space="preserve"> </w:t>
      </w:r>
    </w:p>
    <w:p w14:paraId="07E3DC4D">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1）支持合同到期提醒，可以设置具体提醒人员。</w:t>
      </w:r>
    </w:p>
    <w:p w14:paraId="4B871D03">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2）支持结算到期提醒，可以设置具体提醒人员。</w:t>
      </w:r>
    </w:p>
    <w:p w14:paraId="1970C7EC">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3）</w:t>
      </w:r>
      <w:r>
        <w:rPr>
          <w:rFonts w:ascii="宋体" w:hAnsi="宋体"/>
          <w:sz w:val="24"/>
          <w:szCs w:val="24"/>
        </w:rPr>
        <w:t>支持合同借出提醒</w:t>
      </w:r>
      <w:r>
        <w:rPr>
          <w:rFonts w:hint="eastAsia" w:ascii="宋体" w:hAnsi="宋体"/>
          <w:sz w:val="24"/>
          <w:szCs w:val="24"/>
        </w:rPr>
        <w:t>，</w:t>
      </w:r>
      <w:r>
        <w:rPr>
          <w:rFonts w:ascii="宋体" w:hAnsi="宋体"/>
          <w:sz w:val="24"/>
          <w:szCs w:val="24"/>
        </w:rPr>
        <w:t>可以设置具体提醒人员</w:t>
      </w:r>
      <w:r>
        <w:rPr>
          <w:rFonts w:hint="eastAsia" w:ascii="宋体" w:hAnsi="宋体"/>
          <w:sz w:val="24"/>
          <w:szCs w:val="24"/>
        </w:rPr>
        <w:t>。</w:t>
      </w:r>
    </w:p>
    <w:p w14:paraId="16B25552">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支持合同冻结提醒</w:t>
      </w:r>
      <w:r>
        <w:rPr>
          <w:rFonts w:hint="eastAsia" w:ascii="宋体" w:hAnsi="宋体"/>
          <w:sz w:val="24"/>
          <w:szCs w:val="24"/>
        </w:rPr>
        <w:t>，</w:t>
      </w:r>
      <w:r>
        <w:rPr>
          <w:rFonts w:ascii="宋体" w:hAnsi="宋体"/>
          <w:sz w:val="24"/>
          <w:szCs w:val="24"/>
        </w:rPr>
        <w:t>可以设置具体提醒人员</w:t>
      </w:r>
      <w:r>
        <w:rPr>
          <w:rFonts w:hint="eastAsia" w:ascii="宋体" w:hAnsi="宋体"/>
          <w:sz w:val="24"/>
          <w:szCs w:val="24"/>
        </w:rPr>
        <w:t>。</w:t>
      </w:r>
    </w:p>
    <w:p w14:paraId="527FE130">
      <w:pPr>
        <w:widowControl/>
        <w:spacing w:line="360" w:lineRule="auto"/>
        <w:ind w:firstLine="602" w:firstLineChars="200"/>
        <w:contextualSpacing/>
        <w:rPr>
          <w:rFonts w:hint="eastAsia" w:ascii="宋体" w:hAnsi="宋体"/>
          <w:b/>
          <w:bCs/>
          <w:sz w:val="30"/>
          <w:szCs w:val="30"/>
        </w:rPr>
      </w:pPr>
      <w:bookmarkStart w:id="36" w:name="_Toc88235546"/>
      <w:bookmarkStart w:id="37" w:name="_Toc164268721"/>
      <w:r>
        <w:rPr>
          <w:rFonts w:hint="eastAsia" w:ascii="宋体" w:hAnsi="宋体"/>
          <w:b/>
          <w:bCs/>
          <w:sz w:val="30"/>
          <w:szCs w:val="30"/>
        </w:rPr>
        <w:t>（13）综合查询</w:t>
      </w:r>
      <w:bookmarkEnd w:id="36"/>
      <w:bookmarkEnd w:id="37"/>
      <w:r>
        <w:rPr>
          <w:rFonts w:hint="eastAsia" w:ascii="宋体" w:hAnsi="宋体"/>
          <w:b/>
          <w:bCs/>
          <w:sz w:val="30"/>
          <w:szCs w:val="30"/>
        </w:rPr>
        <w:t xml:space="preserve"> </w:t>
      </w:r>
    </w:p>
    <w:p w14:paraId="0EEEC356">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1）支持合同续签记录查询。</w:t>
      </w:r>
    </w:p>
    <w:p w14:paraId="78C865FF">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2）支持合同变更记录查询。</w:t>
      </w:r>
    </w:p>
    <w:p w14:paraId="3AFDEAD6">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3）支持自定义查询报表。</w:t>
      </w:r>
    </w:p>
    <w:p w14:paraId="3A26EFAE">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支持工作台管理</w:t>
      </w:r>
      <w:r>
        <w:rPr>
          <w:rFonts w:hint="eastAsia" w:ascii="宋体" w:hAnsi="宋体"/>
          <w:sz w:val="24"/>
          <w:szCs w:val="24"/>
        </w:rPr>
        <w:t>，</w:t>
      </w:r>
      <w:r>
        <w:rPr>
          <w:rFonts w:ascii="宋体" w:hAnsi="宋体"/>
          <w:sz w:val="24"/>
          <w:szCs w:val="24"/>
        </w:rPr>
        <w:t>显示合同事项提醒</w:t>
      </w:r>
      <w:r>
        <w:rPr>
          <w:rFonts w:hint="eastAsia" w:ascii="宋体" w:hAnsi="宋体"/>
          <w:sz w:val="24"/>
          <w:szCs w:val="24"/>
        </w:rPr>
        <w:t>、</w:t>
      </w:r>
      <w:r>
        <w:rPr>
          <w:rFonts w:ascii="宋体" w:hAnsi="宋体"/>
          <w:sz w:val="24"/>
          <w:szCs w:val="24"/>
        </w:rPr>
        <w:t>待审批事项</w:t>
      </w:r>
      <w:r>
        <w:rPr>
          <w:rFonts w:hint="eastAsia" w:ascii="宋体" w:hAnsi="宋体"/>
          <w:sz w:val="24"/>
          <w:szCs w:val="24"/>
        </w:rPr>
        <w:t>，支持设置常用功能菜单配置，汇总统计合同签订份数、金额等。</w:t>
      </w:r>
      <w:bookmarkEnd w:id="1"/>
    </w:p>
    <w:p w14:paraId="048F6303">
      <w:pPr>
        <w:pStyle w:val="24"/>
        <w:widowControl/>
        <w:autoSpaceDE/>
        <w:autoSpaceDN/>
        <w:adjustRightInd/>
        <w:spacing w:line="360" w:lineRule="auto"/>
        <w:ind w:left="900"/>
        <w:contextualSpacing/>
        <w:jc w:val="both"/>
        <w:rPr>
          <w:rFonts w:ascii="宋体" w:hAnsi="宋体"/>
        </w:rPr>
      </w:pPr>
    </w:p>
    <w:p w14:paraId="0568C1DE">
      <w:pPr>
        <w:pStyle w:val="24"/>
        <w:widowControl/>
        <w:autoSpaceDE/>
        <w:autoSpaceDN/>
        <w:adjustRightInd/>
        <w:spacing w:line="360" w:lineRule="auto"/>
        <w:ind w:left="900"/>
        <w:contextualSpacing/>
        <w:jc w:val="both"/>
        <w:rPr>
          <w:rFonts w:ascii="宋体" w:hAnsi="宋体"/>
        </w:rPr>
      </w:pPr>
    </w:p>
    <w:p w14:paraId="5C0D6108">
      <w:pPr>
        <w:widowControl/>
        <w:jc w:val="left"/>
        <w:rPr>
          <w:rFonts w:hint="eastAsia" w:ascii="宋体" w:hAnsi="宋体"/>
        </w:rPr>
      </w:pPr>
      <w:bookmarkStart w:id="38" w:name="_GoBack"/>
      <w:bookmarkEnd w:id="38"/>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D4FB3"/>
    <w:multiLevelType w:val="multilevel"/>
    <w:tmpl w:val="AF5D4FB3"/>
    <w:lvl w:ilvl="0" w:tentative="0">
      <w:start w:val="1"/>
      <w:numFmt w:val="decimal"/>
      <w:pStyle w:val="2"/>
      <w:lvlText w:val="%1."/>
      <w:lvlJc w:val="left"/>
      <w:pPr>
        <w:ind w:left="425" w:hanging="425"/>
      </w:pPr>
      <w:rPr>
        <w:rFonts w:hint="default" w:ascii="宋体" w:hAnsi="宋体" w:eastAsia="宋体" w:cs="宋体"/>
      </w:rPr>
    </w:lvl>
    <w:lvl w:ilvl="1" w:tentative="0">
      <w:start w:val="1"/>
      <w:numFmt w:val="decimal"/>
      <w:pStyle w:val="3"/>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OTc0YWRkMmVjMzZlYWFjNDAxM2E4YjI4ZjU2Yzk3ZGIifQ=="/>
  </w:docVars>
  <w:rsids>
    <w:rsidRoot w:val="00D57996"/>
    <w:rsid w:val="000045BD"/>
    <w:rsid w:val="00006C88"/>
    <w:rsid w:val="00011542"/>
    <w:rsid w:val="0002594D"/>
    <w:rsid w:val="00030156"/>
    <w:rsid w:val="0004756A"/>
    <w:rsid w:val="00072410"/>
    <w:rsid w:val="00072A17"/>
    <w:rsid w:val="00080808"/>
    <w:rsid w:val="000A48B5"/>
    <w:rsid w:val="000D199D"/>
    <w:rsid w:val="000E502A"/>
    <w:rsid w:val="000E51E4"/>
    <w:rsid w:val="0010121C"/>
    <w:rsid w:val="0010617C"/>
    <w:rsid w:val="001066B1"/>
    <w:rsid w:val="001306BF"/>
    <w:rsid w:val="001352E0"/>
    <w:rsid w:val="001525CD"/>
    <w:rsid w:val="00153812"/>
    <w:rsid w:val="0017350D"/>
    <w:rsid w:val="00194585"/>
    <w:rsid w:val="001A1701"/>
    <w:rsid w:val="001A6C1C"/>
    <w:rsid w:val="001C3EF5"/>
    <w:rsid w:val="001D1C42"/>
    <w:rsid w:val="001E28DD"/>
    <w:rsid w:val="001F385A"/>
    <w:rsid w:val="00201E44"/>
    <w:rsid w:val="002103AE"/>
    <w:rsid w:val="00224812"/>
    <w:rsid w:val="00237615"/>
    <w:rsid w:val="002529F1"/>
    <w:rsid w:val="002644F2"/>
    <w:rsid w:val="00270008"/>
    <w:rsid w:val="002A6ADF"/>
    <w:rsid w:val="003121ED"/>
    <w:rsid w:val="00317B26"/>
    <w:rsid w:val="0034021A"/>
    <w:rsid w:val="00345CD8"/>
    <w:rsid w:val="00345DD0"/>
    <w:rsid w:val="00352F9B"/>
    <w:rsid w:val="003628A2"/>
    <w:rsid w:val="00364622"/>
    <w:rsid w:val="00373817"/>
    <w:rsid w:val="003C43F2"/>
    <w:rsid w:val="003F2546"/>
    <w:rsid w:val="004021D9"/>
    <w:rsid w:val="004046BB"/>
    <w:rsid w:val="00410484"/>
    <w:rsid w:val="004370A3"/>
    <w:rsid w:val="004538FE"/>
    <w:rsid w:val="00455A3E"/>
    <w:rsid w:val="00460F03"/>
    <w:rsid w:val="00467770"/>
    <w:rsid w:val="00490503"/>
    <w:rsid w:val="004B09CA"/>
    <w:rsid w:val="004C1A78"/>
    <w:rsid w:val="004C5664"/>
    <w:rsid w:val="004E4259"/>
    <w:rsid w:val="004E7F99"/>
    <w:rsid w:val="00502BC4"/>
    <w:rsid w:val="00537623"/>
    <w:rsid w:val="00545A31"/>
    <w:rsid w:val="00577846"/>
    <w:rsid w:val="005828E6"/>
    <w:rsid w:val="005852DD"/>
    <w:rsid w:val="005A6E62"/>
    <w:rsid w:val="005B6C8A"/>
    <w:rsid w:val="005E0180"/>
    <w:rsid w:val="005E1F96"/>
    <w:rsid w:val="005F17B0"/>
    <w:rsid w:val="005F31CC"/>
    <w:rsid w:val="005F3218"/>
    <w:rsid w:val="005F3EBA"/>
    <w:rsid w:val="00603364"/>
    <w:rsid w:val="006050F2"/>
    <w:rsid w:val="00615B7F"/>
    <w:rsid w:val="00633A05"/>
    <w:rsid w:val="00633F78"/>
    <w:rsid w:val="0063656E"/>
    <w:rsid w:val="00637A6D"/>
    <w:rsid w:val="006829FF"/>
    <w:rsid w:val="00684D7A"/>
    <w:rsid w:val="00685694"/>
    <w:rsid w:val="006974D1"/>
    <w:rsid w:val="006A2EF2"/>
    <w:rsid w:val="006B5682"/>
    <w:rsid w:val="006C7CC5"/>
    <w:rsid w:val="006E77DA"/>
    <w:rsid w:val="007244DC"/>
    <w:rsid w:val="0074057D"/>
    <w:rsid w:val="00751D04"/>
    <w:rsid w:val="007655AB"/>
    <w:rsid w:val="00765DEC"/>
    <w:rsid w:val="00774352"/>
    <w:rsid w:val="007B2286"/>
    <w:rsid w:val="007B63E2"/>
    <w:rsid w:val="007D3411"/>
    <w:rsid w:val="007D6A32"/>
    <w:rsid w:val="00802565"/>
    <w:rsid w:val="0080553D"/>
    <w:rsid w:val="008126CA"/>
    <w:rsid w:val="00821545"/>
    <w:rsid w:val="0082501C"/>
    <w:rsid w:val="00832CD3"/>
    <w:rsid w:val="00842E8A"/>
    <w:rsid w:val="008448C4"/>
    <w:rsid w:val="00853F2A"/>
    <w:rsid w:val="0085740E"/>
    <w:rsid w:val="00862802"/>
    <w:rsid w:val="00880F70"/>
    <w:rsid w:val="008819CD"/>
    <w:rsid w:val="008A1CFE"/>
    <w:rsid w:val="008A50A9"/>
    <w:rsid w:val="008C18EF"/>
    <w:rsid w:val="008C1E2E"/>
    <w:rsid w:val="008C6090"/>
    <w:rsid w:val="008D5476"/>
    <w:rsid w:val="008D5CE5"/>
    <w:rsid w:val="008D7B61"/>
    <w:rsid w:val="00921F53"/>
    <w:rsid w:val="00936507"/>
    <w:rsid w:val="00970A1B"/>
    <w:rsid w:val="009751DD"/>
    <w:rsid w:val="009757F6"/>
    <w:rsid w:val="00995FD3"/>
    <w:rsid w:val="009B39BE"/>
    <w:rsid w:val="009B56BC"/>
    <w:rsid w:val="009B5F14"/>
    <w:rsid w:val="009C1E66"/>
    <w:rsid w:val="009E0A22"/>
    <w:rsid w:val="00A14983"/>
    <w:rsid w:val="00A202BF"/>
    <w:rsid w:val="00A202CD"/>
    <w:rsid w:val="00A21888"/>
    <w:rsid w:val="00A23849"/>
    <w:rsid w:val="00A26D81"/>
    <w:rsid w:val="00A27319"/>
    <w:rsid w:val="00A32815"/>
    <w:rsid w:val="00A62409"/>
    <w:rsid w:val="00A62622"/>
    <w:rsid w:val="00A675ED"/>
    <w:rsid w:val="00A803AE"/>
    <w:rsid w:val="00A8519F"/>
    <w:rsid w:val="00AA0CC5"/>
    <w:rsid w:val="00AA7CB5"/>
    <w:rsid w:val="00AC78F8"/>
    <w:rsid w:val="00AD10FC"/>
    <w:rsid w:val="00AF17F4"/>
    <w:rsid w:val="00B017AC"/>
    <w:rsid w:val="00B037CA"/>
    <w:rsid w:val="00B233C7"/>
    <w:rsid w:val="00B51DC4"/>
    <w:rsid w:val="00B652C9"/>
    <w:rsid w:val="00B7294C"/>
    <w:rsid w:val="00B91F35"/>
    <w:rsid w:val="00BA0E6A"/>
    <w:rsid w:val="00BC05CB"/>
    <w:rsid w:val="00C07D6A"/>
    <w:rsid w:val="00C1671C"/>
    <w:rsid w:val="00C4194E"/>
    <w:rsid w:val="00C514E3"/>
    <w:rsid w:val="00C61795"/>
    <w:rsid w:val="00C75AD1"/>
    <w:rsid w:val="00C91A23"/>
    <w:rsid w:val="00CE0579"/>
    <w:rsid w:val="00CE4017"/>
    <w:rsid w:val="00D152AC"/>
    <w:rsid w:val="00D43017"/>
    <w:rsid w:val="00D439DE"/>
    <w:rsid w:val="00D459FA"/>
    <w:rsid w:val="00D51480"/>
    <w:rsid w:val="00D57996"/>
    <w:rsid w:val="00D71BE6"/>
    <w:rsid w:val="00D948F0"/>
    <w:rsid w:val="00DC1D69"/>
    <w:rsid w:val="00DC5DDF"/>
    <w:rsid w:val="00DC739A"/>
    <w:rsid w:val="00DC7A70"/>
    <w:rsid w:val="00DD07D5"/>
    <w:rsid w:val="00DD1202"/>
    <w:rsid w:val="00DD54E6"/>
    <w:rsid w:val="00DD56E8"/>
    <w:rsid w:val="00DE7207"/>
    <w:rsid w:val="00E314BB"/>
    <w:rsid w:val="00E34F54"/>
    <w:rsid w:val="00E51091"/>
    <w:rsid w:val="00E56C17"/>
    <w:rsid w:val="00E73D7D"/>
    <w:rsid w:val="00E977CB"/>
    <w:rsid w:val="00EA5A69"/>
    <w:rsid w:val="00ED11A7"/>
    <w:rsid w:val="00EE281D"/>
    <w:rsid w:val="00F00B27"/>
    <w:rsid w:val="00F10F46"/>
    <w:rsid w:val="00F11B60"/>
    <w:rsid w:val="00F12162"/>
    <w:rsid w:val="00F15BBD"/>
    <w:rsid w:val="00F367DD"/>
    <w:rsid w:val="00F431C8"/>
    <w:rsid w:val="00F66466"/>
    <w:rsid w:val="00F715A0"/>
    <w:rsid w:val="00F85CFE"/>
    <w:rsid w:val="00F86D6D"/>
    <w:rsid w:val="00F92762"/>
    <w:rsid w:val="00FB3731"/>
    <w:rsid w:val="00FF3F7A"/>
    <w:rsid w:val="34BD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numPr>
        <w:ilvl w:val="0"/>
        <w:numId w:val="1"/>
      </w:numPr>
      <w:tabs>
        <w:tab w:val="left" w:pos="420"/>
      </w:tabs>
      <w:spacing w:before="200" w:after="200"/>
      <w:outlineLvl w:val="0"/>
    </w:pPr>
    <w:rPr>
      <w:rFonts w:ascii="宋体" w:hAnsi="宋体"/>
      <w:bCs/>
      <w:kern w:val="44"/>
      <w:sz w:val="36"/>
      <w:szCs w:val="44"/>
    </w:rPr>
  </w:style>
  <w:style w:type="paragraph" w:styleId="3">
    <w:name w:val="heading 2"/>
    <w:basedOn w:val="1"/>
    <w:next w:val="1"/>
    <w:link w:val="21"/>
    <w:unhideWhenUsed/>
    <w:qFormat/>
    <w:uiPriority w:val="0"/>
    <w:pPr>
      <w:keepNext/>
      <w:keepLines/>
      <w:numPr>
        <w:ilvl w:val="1"/>
        <w:numId w:val="1"/>
      </w:numPr>
      <w:spacing w:before="200" w:after="200"/>
      <w:outlineLvl w:val="1"/>
    </w:pPr>
    <w:rPr>
      <w:rFonts w:ascii="宋体" w:hAnsi="宋体" w:cstheme="majorBidi"/>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uiPriority w:val="39"/>
    <w:pPr>
      <w:ind w:left="2520" w:leftChars="1200"/>
    </w:pPr>
  </w:style>
  <w:style w:type="paragraph" w:styleId="6">
    <w:name w:val="toc 5"/>
    <w:basedOn w:val="1"/>
    <w:next w:val="1"/>
    <w:autoRedefine/>
    <w:unhideWhenUsed/>
    <w:uiPriority w:val="39"/>
    <w:pPr>
      <w:ind w:left="1680" w:leftChars="800"/>
    </w:pPr>
  </w:style>
  <w:style w:type="paragraph" w:styleId="7">
    <w:name w:val="toc 3"/>
    <w:basedOn w:val="1"/>
    <w:next w:val="1"/>
    <w:autoRedefine/>
    <w:unhideWhenUsed/>
    <w:uiPriority w:val="39"/>
    <w:pPr>
      <w:ind w:left="840" w:leftChars="400"/>
    </w:pPr>
  </w:style>
  <w:style w:type="paragraph" w:styleId="8">
    <w:name w:val="toc 8"/>
    <w:basedOn w:val="1"/>
    <w:next w:val="1"/>
    <w:autoRedefine/>
    <w:unhideWhenUsed/>
    <w:uiPriority w:val="39"/>
    <w:pPr>
      <w:ind w:left="2940" w:leftChars="1400"/>
    </w:pPr>
  </w:style>
  <w:style w:type="paragraph" w:styleId="9">
    <w:name w:val="Balloon Text"/>
    <w:basedOn w:val="1"/>
    <w:link w:val="26"/>
    <w:semiHidden/>
    <w:unhideWhenUsed/>
    <w:uiPriority w:val="99"/>
    <w:rPr>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uiPriority w:val="39"/>
  </w:style>
  <w:style w:type="paragraph" w:styleId="13">
    <w:name w:val="toc 4"/>
    <w:basedOn w:val="1"/>
    <w:next w:val="1"/>
    <w:autoRedefine/>
    <w:unhideWhenUsed/>
    <w:uiPriority w:val="39"/>
    <w:pPr>
      <w:ind w:left="1260" w:leftChars="600"/>
    </w:pPr>
  </w:style>
  <w:style w:type="paragraph" w:styleId="14">
    <w:name w:val="toc 6"/>
    <w:basedOn w:val="1"/>
    <w:next w:val="1"/>
    <w:autoRedefine/>
    <w:unhideWhenUsed/>
    <w:uiPriority w:val="39"/>
    <w:pPr>
      <w:ind w:left="2100" w:leftChars="1000"/>
    </w:pPr>
  </w:style>
  <w:style w:type="paragraph" w:styleId="15">
    <w:name w:val="toc 2"/>
    <w:basedOn w:val="1"/>
    <w:next w:val="1"/>
    <w:autoRedefine/>
    <w:unhideWhenUsed/>
    <w:uiPriority w:val="39"/>
    <w:pPr>
      <w:tabs>
        <w:tab w:val="right" w:leader="dot" w:pos="8630"/>
      </w:tabs>
      <w:ind w:left="420" w:leftChars="200"/>
    </w:pPr>
  </w:style>
  <w:style w:type="paragraph" w:styleId="16">
    <w:name w:val="toc 9"/>
    <w:basedOn w:val="1"/>
    <w:next w:val="1"/>
    <w:autoRedefine/>
    <w:unhideWhenUsed/>
    <w:uiPriority w:val="39"/>
    <w:pPr>
      <w:ind w:left="3360" w:leftChars="1600"/>
    </w:pPr>
  </w:style>
  <w:style w:type="character" w:styleId="19">
    <w:name w:val="Hyperlink"/>
    <w:basedOn w:val="18"/>
    <w:unhideWhenUsed/>
    <w:uiPriority w:val="99"/>
    <w:rPr>
      <w:color w:val="0563C1" w:themeColor="hyperlink"/>
      <w:u w:val="single"/>
    </w:rPr>
  </w:style>
  <w:style w:type="character" w:customStyle="1" w:styleId="20">
    <w:name w:val="标题 1 字符"/>
    <w:basedOn w:val="18"/>
    <w:link w:val="2"/>
    <w:qFormat/>
    <w:uiPriority w:val="0"/>
    <w:rPr>
      <w:rFonts w:ascii="宋体" w:hAnsi="宋体"/>
      <w:bCs/>
      <w:kern w:val="44"/>
      <w:sz w:val="36"/>
      <w:szCs w:val="44"/>
    </w:rPr>
  </w:style>
  <w:style w:type="character" w:customStyle="1" w:styleId="21">
    <w:name w:val="标题 2 字符"/>
    <w:basedOn w:val="18"/>
    <w:link w:val="3"/>
    <w:qFormat/>
    <w:uiPriority w:val="0"/>
    <w:rPr>
      <w:rFonts w:ascii="宋体" w:hAnsi="宋体" w:cstheme="majorBidi"/>
      <w:bCs/>
      <w:sz w:val="32"/>
      <w:szCs w:val="32"/>
    </w:rPr>
  </w:style>
  <w:style w:type="paragraph" w:customStyle="1" w:styleId="22">
    <w:name w:val="msolist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character" w:customStyle="1" w:styleId="23">
    <w:name w:val="标题 3 字符"/>
    <w:basedOn w:val="18"/>
    <w:link w:val="4"/>
    <w:uiPriority w:val="9"/>
    <w:rPr>
      <w:b/>
      <w:bCs/>
      <w:sz w:val="32"/>
      <w:szCs w:val="32"/>
    </w:rPr>
  </w:style>
  <w:style w:type="paragraph" w:styleId="24">
    <w:name w:val="List Paragraph"/>
    <w:basedOn w:val="1"/>
    <w:link w:val="25"/>
    <w:qFormat/>
    <w:uiPriority w:val="34"/>
    <w:pPr>
      <w:autoSpaceDE w:val="0"/>
      <w:autoSpaceDN w:val="0"/>
      <w:adjustRightInd w:val="0"/>
      <w:jc w:val="left"/>
    </w:pPr>
    <w:rPr>
      <w:rFonts w:ascii="Times New Roman" w:hAnsi="Times New Roman" w:cs="Times New Roman"/>
      <w:kern w:val="0"/>
      <w:sz w:val="24"/>
      <w:szCs w:val="24"/>
    </w:rPr>
  </w:style>
  <w:style w:type="character" w:customStyle="1" w:styleId="25">
    <w:name w:val="列表段落 字符"/>
    <w:link w:val="24"/>
    <w:qFormat/>
    <w:uiPriority w:val="34"/>
    <w:rPr>
      <w:rFonts w:ascii="Times New Roman" w:hAnsi="Times New Roman" w:cs="Times New Roman"/>
      <w:kern w:val="0"/>
      <w:sz w:val="24"/>
      <w:szCs w:val="24"/>
    </w:rPr>
  </w:style>
  <w:style w:type="character" w:customStyle="1" w:styleId="26">
    <w:name w:val="批注框文本 字符"/>
    <w:basedOn w:val="18"/>
    <w:link w:val="9"/>
    <w:semiHidden/>
    <w:uiPriority w:val="99"/>
    <w:rPr>
      <w:sz w:val="18"/>
      <w:szCs w:val="18"/>
    </w:rPr>
  </w:style>
  <w:style w:type="character" w:customStyle="1" w:styleId="27">
    <w:name w:val="font31"/>
    <w:basedOn w:val="18"/>
    <w:uiPriority w:val="0"/>
    <w:rPr>
      <w:rFonts w:hint="eastAsia" w:ascii="宋体" w:hAnsi="宋体" w:eastAsia="宋体" w:cs="宋体"/>
      <w:color w:val="000000"/>
      <w:sz w:val="20"/>
      <w:szCs w:val="20"/>
      <w:u w:val="none"/>
    </w:rPr>
  </w:style>
  <w:style w:type="paragraph" w:customStyle="1" w:styleId="28">
    <w:name w:val="TOC Heading"/>
    <w:basedOn w:val="2"/>
    <w:next w:val="1"/>
    <w:unhideWhenUsed/>
    <w:qFormat/>
    <w:uiPriority w:val="39"/>
    <w:pPr>
      <w:widowControl/>
      <w:numPr>
        <w:numId w:val="0"/>
      </w:numPr>
      <w:tabs>
        <w:tab w:val="clear" w:pos="420"/>
      </w:tabs>
      <w:spacing w:before="240" w:after="0" w:line="259" w:lineRule="auto"/>
      <w:jc w:val="left"/>
      <w:outlineLvl w:val="9"/>
    </w:pPr>
    <w:rPr>
      <w:rFonts w:asciiTheme="majorHAnsi" w:hAnsiTheme="majorHAnsi" w:eastAsiaTheme="majorEastAsia" w:cstheme="majorBidi"/>
      <w:bCs w:val="0"/>
      <w:color w:val="2E75B5" w:themeColor="accent1" w:themeShade="BF"/>
      <w:kern w:val="0"/>
      <w:sz w:val="32"/>
      <w:szCs w:val="32"/>
    </w:rPr>
  </w:style>
  <w:style w:type="character" w:customStyle="1" w:styleId="29">
    <w:name w:val="页眉 字符"/>
    <w:basedOn w:val="18"/>
    <w:link w:val="11"/>
    <w:uiPriority w:val="99"/>
    <w:rPr>
      <w:sz w:val="18"/>
      <w:szCs w:val="18"/>
    </w:rPr>
  </w:style>
  <w:style w:type="character" w:customStyle="1" w:styleId="30">
    <w:name w:val="页脚 字符"/>
    <w:basedOn w:val="18"/>
    <w:link w:val="10"/>
    <w:uiPriority w:val="0"/>
    <w:rPr>
      <w:sz w:val="18"/>
      <w:szCs w:val="18"/>
    </w:rPr>
  </w:style>
  <w:style w:type="paragraph" w:customStyle="1" w:styleId="31">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B9ED-481F-4768-B537-636E2DEA111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3242</Words>
  <Characters>3300</Characters>
  <Lines>24</Lines>
  <Paragraphs>6</Paragraphs>
  <TotalTime>983</TotalTime>
  <ScaleCrop>false</ScaleCrop>
  <LinksUpToDate>false</LinksUpToDate>
  <CharactersWithSpaces>3339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2023-06-13T06:17:00Z</dcterms:created>
  <dc:creator>沈亚楠</dc:creator>
  <cp:lastModifiedBy>ㅤㅤㅤㅤㅤㅤㅤㅤㅤ</cp:lastModifiedBy>
  <dcterms:modified xsi:type="dcterms:W3CDTF">2024-11-04T03:15:01Z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1E027BF254304719BD85B96CFE22BFA1_12</vt:lpwstr>
  </property>
</Properties>
</file>