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63"/>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桂平市人民医院聘请第三方公司开展行政后勤人员定岗定编项目评分标准</w:t>
      </w:r>
    </w:p>
    <w:p>
      <w:pPr>
        <w:spacing w:line="360" w:lineRule="auto"/>
        <w:ind w:firstLine="363"/>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 xml:space="preserve">日期：2024年09月  日        </w:t>
      </w:r>
    </w:p>
    <w:p>
      <w:pPr>
        <w:spacing w:line="360" w:lineRule="auto"/>
        <w:ind w:firstLine="363"/>
        <w:jc w:val="left"/>
        <w:rPr>
          <w:rFonts w:hint="default" w:ascii="宋体" w:hAnsi="宋体" w:cs="宋体"/>
          <w:b/>
          <w:bCs/>
          <w:sz w:val="24"/>
          <w:szCs w:val="24"/>
          <w:u w:val="single"/>
          <w:lang w:val="en-US" w:eastAsia="zh-CN"/>
        </w:rPr>
      </w:pPr>
      <w:r>
        <w:rPr>
          <w:rFonts w:hint="eastAsia" w:ascii="宋体" w:hAnsi="宋体" w:cs="宋体"/>
          <w:b/>
          <w:bCs/>
          <w:sz w:val="24"/>
          <w:szCs w:val="24"/>
          <w:lang w:val="en-US" w:eastAsia="zh-CN"/>
        </w:rPr>
        <w:t>参评公司名称：</w:t>
      </w:r>
      <w:r>
        <w:rPr>
          <w:rFonts w:hint="eastAsia" w:ascii="宋体" w:hAnsi="宋体" w:cs="宋体"/>
          <w:b/>
          <w:bCs/>
          <w:sz w:val="24"/>
          <w:szCs w:val="24"/>
          <w:u w:val="single"/>
          <w:lang w:val="en-US" w:eastAsia="zh-CN"/>
        </w:rPr>
        <w:t xml:space="preserve">                            </w:t>
      </w:r>
      <w:r>
        <w:rPr>
          <w:rFonts w:hint="eastAsia" w:ascii="宋体" w:hAnsi="宋体" w:cs="宋体"/>
          <w:b/>
          <w:bCs/>
          <w:sz w:val="24"/>
          <w:szCs w:val="24"/>
          <w:lang w:val="en-US" w:eastAsia="zh-CN"/>
        </w:rPr>
        <w:t xml:space="preserve">    评委（签字）：</w:t>
      </w:r>
      <w:r>
        <w:rPr>
          <w:rFonts w:hint="eastAsia" w:ascii="宋体" w:hAnsi="宋体" w:cs="宋体"/>
          <w:b/>
          <w:bCs/>
          <w:sz w:val="24"/>
          <w:szCs w:val="24"/>
          <w:u w:val="single"/>
          <w:lang w:val="en-US" w:eastAsia="zh-CN"/>
        </w:rPr>
        <w:t xml:space="preserve">          </w:t>
      </w:r>
    </w:p>
    <w:tbl>
      <w:tblPr>
        <w:tblStyle w:val="20"/>
        <w:tblW w:w="8615" w:type="dxa"/>
        <w:jc w:val="center"/>
        <w:shd w:val="clear" w:color="auto" w:fill="FFFFFF"/>
        <w:tblLayout w:type="fixed"/>
        <w:tblCellMar>
          <w:top w:w="15" w:type="dxa"/>
          <w:left w:w="15" w:type="dxa"/>
          <w:bottom w:w="15" w:type="dxa"/>
          <w:right w:w="15" w:type="dxa"/>
        </w:tblCellMar>
      </w:tblPr>
      <w:tblGrid>
        <w:gridCol w:w="1577"/>
        <w:gridCol w:w="7038"/>
      </w:tblGrid>
      <w:tr>
        <w:tblPrEx>
          <w:shd w:val="clear" w:color="auto" w:fill="FFFFFF"/>
          <w:tblCellMar>
            <w:top w:w="15" w:type="dxa"/>
            <w:left w:w="15" w:type="dxa"/>
            <w:bottom w:w="15" w:type="dxa"/>
            <w:right w:w="15" w:type="dxa"/>
          </w:tblCellMar>
        </w:tblPrEx>
        <w:trPr>
          <w:trHeight w:val="67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评分项</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61"/>
              <w:jc w:val="center"/>
              <w:rPr>
                <w:rFonts w:ascii="宋体" w:hAnsi="宋体" w:cs="宋体"/>
                <w:b/>
                <w:bCs/>
                <w:kern w:val="0"/>
                <w:sz w:val="24"/>
                <w:szCs w:val="24"/>
              </w:rPr>
            </w:pPr>
            <w:r>
              <w:rPr>
                <w:rFonts w:hint="eastAsia" w:ascii="宋体" w:hAnsi="宋体" w:cs="宋体"/>
                <w:b/>
                <w:bCs/>
                <w:kern w:val="0"/>
                <w:sz w:val="24"/>
                <w:szCs w:val="24"/>
              </w:rPr>
              <w:t>评审标准</w:t>
            </w:r>
          </w:p>
        </w:tc>
      </w:tr>
      <w:tr>
        <w:tblPrEx>
          <w:shd w:val="clear" w:color="auto" w:fill="FFFFFF"/>
          <w:tblCellMar>
            <w:top w:w="15" w:type="dxa"/>
            <w:left w:w="15" w:type="dxa"/>
            <w:bottom w:w="15" w:type="dxa"/>
            <w:right w:w="15" w:type="dxa"/>
          </w:tblCellMar>
        </w:tblPrEx>
        <w:trPr>
          <w:trHeight w:val="482"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报  价</w:t>
            </w:r>
          </w:p>
          <w:p>
            <w:pPr>
              <w:spacing w:line="360" w:lineRule="auto"/>
              <w:jc w:val="center"/>
              <w:rPr>
                <w:rFonts w:ascii="宋体" w:hAnsi="宋体" w:cs="宋体"/>
                <w:b/>
                <w:bCs/>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val="en-US" w:eastAsia="zh-CN"/>
              </w:rPr>
              <w:t>20</w:t>
            </w:r>
            <w:r>
              <w:rPr>
                <w:rFonts w:hint="eastAsia" w:ascii="宋体" w:hAnsi="宋体" w:cs="宋体"/>
                <w:b/>
                <w:bCs/>
                <w:kern w:val="0"/>
                <w:sz w:val="24"/>
                <w:szCs w:val="24"/>
              </w:rPr>
              <w:t>分）</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7"/>
              <w:keepNext w:val="0"/>
              <w:keepLines w:val="0"/>
              <w:widowControl/>
              <w:suppressLineNumbers w:val="0"/>
              <w:spacing w:before="0" w:beforeAutospacing="0" w:after="0" w:afterAutospacing="0" w:line="360" w:lineRule="auto"/>
              <w:ind w:left="0" w:firstLine="0"/>
              <w:jc w:val="left"/>
            </w:pPr>
            <w:r>
              <w:rPr>
                <w:rFonts w:hint="eastAsia" w:ascii="宋体" w:hAnsi="宋体" w:cs="宋体"/>
                <w:sz w:val="24"/>
                <w:szCs w:val="24"/>
              </w:rPr>
              <w:t>以满足采购文件要求的响应人的最终报价中的最低报价为评审基准价，</w:t>
            </w:r>
            <w:r>
              <w:rPr>
                <w:rFonts w:hint="eastAsia" w:ascii="宋体" w:hAnsi="宋体" w:eastAsia="宋体" w:cs="宋体"/>
                <w:color w:val="000000"/>
              </w:rPr>
              <w:t>价格分计算公式：</w:t>
            </w:r>
          </w:p>
          <w:p>
            <w:pPr>
              <w:pStyle w:val="17"/>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color w:val="000000"/>
              </w:rPr>
              <w:t>价格分=（基准价/最后报价）×</w:t>
            </w:r>
            <w:r>
              <w:rPr>
                <w:rFonts w:hint="eastAsia" w:ascii="宋体" w:hAnsi="宋体" w:eastAsia="宋体" w:cs="宋体"/>
                <w:color w:val="000000"/>
                <w:lang w:val="en-US" w:eastAsia="zh-CN"/>
              </w:rPr>
              <w:t>20</w:t>
            </w:r>
            <w:r>
              <w:rPr>
                <w:rFonts w:hint="eastAsia" w:ascii="宋体" w:hAnsi="宋体" w:eastAsia="宋体" w:cs="宋体"/>
                <w:color w:val="000000"/>
              </w:rPr>
              <w:t>分</w:t>
            </w:r>
          </w:p>
          <w:p>
            <w:pPr>
              <w:pStyle w:val="17"/>
              <w:keepNext w:val="0"/>
              <w:keepLines w:val="0"/>
              <w:widowControl/>
              <w:suppressLineNumbers w:val="0"/>
              <w:spacing w:before="0" w:beforeAutospacing="0" w:after="0" w:afterAutospacing="0" w:line="360" w:lineRule="auto"/>
              <w:ind w:left="0" w:firstLine="0"/>
              <w:jc w:val="left"/>
            </w:pPr>
            <w:r>
              <w:rPr>
                <w:rFonts w:hint="eastAsia" w:ascii="宋体" w:hAnsi="宋体" w:eastAsia="宋体" w:cs="宋体"/>
                <w:color w:val="000000"/>
              </w:rPr>
              <w:t>注：1.基准价为所有供应商有效报价中的最低报价；</w:t>
            </w:r>
          </w:p>
          <w:p>
            <w:pPr>
              <w:spacing w:line="360" w:lineRule="auto"/>
              <w:ind w:firstLine="360"/>
              <w:rPr>
                <w:rFonts w:hint="eastAsia" w:ascii="宋体" w:hAnsi="宋体" w:cs="宋体"/>
                <w:sz w:val="24"/>
                <w:szCs w:val="24"/>
              </w:rPr>
            </w:pPr>
            <w:r>
              <w:rPr>
                <w:rFonts w:hint="eastAsia" w:ascii="宋体" w:hAnsi="宋体" w:eastAsia="宋体" w:cs="宋体"/>
                <w:color w:val="000000"/>
              </w:rPr>
              <w:t>    2.价格分取值四舍五入保留两位小数。</w:t>
            </w:r>
          </w:p>
        </w:tc>
      </w:tr>
      <w:tr>
        <w:tblPrEx>
          <w:shd w:val="clear" w:color="auto" w:fill="FFFFFF"/>
          <w:tblCellMar>
            <w:top w:w="15" w:type="dxa"/>
            <w:left w:w="15" w:type="dxa"/>
            <w:bottom w:w="15" w:type="dxa"/>
            <w:right w:w="15" w:type="dxa"/>
          </w:tblCellMar>
        </w:tblPrEx>
        <w:trPr>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方案设计</w:t>
            </w:r>
          </w:p>
          <w:p>
            <w:pPr>
              <w:spacing w:line="360" w:lineRule="auto"/>
              <w:jc w:val="center"/>
              <w:rPr>
                <w:rFonts w:ascii="宋体" w:hAnsi="宋体" w:cs="宋体"/>
                <w:b/>
                <w:bCs/>
                <w:kern w:val="0"/>
                <w:sz w:val="24"/>
                <w:szCs w:val="24"/>
              </w:rPr>
            </w:pPr>
            <w:r>
              <w:rPr>
                <w:rFonts w:hint="eastAsia" w:ascii="宋体" w:hAnsi="宋体" w:cs="宋体"/>
                <w:b/>
                <w:bCs/>
                <w:kern w:val="0"/>
                <w:sz w:val="24"/>
                <w:szCs w:val="24"/>
              </w:rPr>
              <w:t>（技术部分）</w:t>
            </w:r>
          </w:p>
          <w:p>
            <w:pPr>
              <w:spacing w:line="360" w:lineRule="auto"/>
              <w:jc w:val="center"/>
              <w:rPr>
                <w:rFonts w:ascii="宋体" w:hAnsi="宋体" w:cs="宋体"/>
                <w:kern w:val="0"/>
                <w:sz w:val="24"/>
                <w:szCs w:val="24"/>
              </w:rPr>
            </w:pPr>
            <w:r>
              <w:rPr>
                <w:rFonts w:hint="eastAsia" w:ascii="宋体" w:hAnsi="宋体" w:cs="宋体"/>
                <w:b/>
                <w:bCs/>
                <w:kern w:val="0"/>
                <w:sz w:val="24"/>
                <w:szCs w:val="24"/>
              </w:rPr>
              <w:t>（4</w:t>
            </w:r>
            <w:r>
              <w:rPr>
                <w:rFonts w:hint="eastAsia" w:ascii="宋体" w:hAnsi="宋体" w:cs="宋体"/>
                <w:b/>
                <w:bCs/>
                <w:kern w:val="0"/>
                <w:sz w:val="24"/>
                <w:szCs w:val="24"/>
                <w:lang w:val="en-US" w:eastAsia="zh-CN"/>
              </w:rPr>
              <w:t>0</w:t>
            </w:r>
            <w:r>
              <w:rPr>
                <w:rFonts w:hint="eastAsia" w:ascii="宋体" w:hAnsi="宋体" w:cs="宋体"/>
                <w:b/>
                <w:bCs/>
                <w:kern w:val="0"/>
                <w:sz w:val="24"/>
                <w:szCs w:val="24"/>
              </w:rPr>
              <w:t>分）</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60"/>
              <w:rPr>
                <w:rFonts w:ascii="宋体" w:hAnsi="宋体" w:cs="宋体"/>
                <w:b/>
                <w:bCs/>
                <w:sz w:val="24"/>
                <w:szCs w:val="24"/>
              </w:rPr>
            </w:pPr>
            <w:r>
              <w:rPr>
                <w:rFonts w:hint="eastAsia" w:ascii="宋体" w:hAnsi="宋体" w:cs="宋体"/>
                <w:b/>
                <w:bCs/>
                <w:sz w:val="24"/>
                <w:szCs w:val="24"/>
              </w:rPr>
              <w:t>医院行政后勤定岗定编方案设计：</w:t>
            </w:r>
          </w:p>
          <w:p>
            <w:pPr>
              <w:spacing w:line="360" w:lineRule="auto"/>
              <w:ind w:firstLine="360"/>
              <w:rPr>
                <w:rFonts w:hint="default" w:ascii="宋体" w:hAnsi="宋体" w:cs="宋体"/>
                <w:sz w:val="24"/>
                <w:szCs w:val="24"/>
                <w:woUserID w:val="1"/>
              </w:rPr>
            </w:pPr>
            <w:r>
              <w:rPr>
                <w:rFonts w:hint="eastAsia" w:ascii="宋体" w:hAnsi="宋体" w:cs="宋体"/>
                <w:sz w:val="24"/>
                <w:szCs w:val="24"/>
              </w:rPr>
              <w:t>根据医院实际情况，合理配置和优化医院行政后勤各专业及各类岗位的人员编制；方案具体、详实、针对性强、可操作性强，能最大限度考虑采购人的需求和利益。</w:t>
            </w:r>
            <w:bookmarkStart w:id="0" w:name="_GoBack"/>
            <w:r>
              <w:rPr>
                <w:rFonts w:hint="default" w:ascii="宋体" w:hAnsi="宋体" w:cs="宋体"/>
                <w:sz w:val="24"/>
                <w:szCs w:val="24"/>
                <w:highlight w:val="yellow"/>
                <w:woUserID w:val="1"/>
              </w:rPr>
              <w:t>方案要求包含进驻甲方进行现场调研的时间不少于一个月。</w:t>
            </w:r>
            <w:bookmarkEnd w:id="0"/>
          </w:p>
          <w:p>
            <w:pPr>
              <w:spacing w:line="360" w:lineRule="auto"/>
              <w:ind w:firstLine="360"/>
              <w:rPr>
                <w:rFonts w:ascii="宋体" w:hAnsi="宋体" w:cs="宋体"/>
                <w:sz w:val="24"/>
                <w:szCs w:val="24"/>
              </w:rPr>
            </w:pPr>
            <w:r>
              <w:rPr>
                <w:rFonts w:hint="eastAsia" w:ascii="宋体" w:hAnsi="宋体" w:cs="宋体"/>
                <w:sz w:val="24"/>
                <w:szCs w:val="24"/>
              </w:rPr>
              <w:t>方案设计应明确编制原则、编制依据、编制方法、具体方案。</w:t>
            </w:r>
          </w:p>
          <w:p>
            <w:pPr>
              <w:spacing w:line="360" w:lineRule="auto"/>
              <w:ind w:firstLine="36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方案设计</w:t>
            </w:r>
            <w:r>
              <w:rPr>
                <w:rFonts w:hint="eastAsia" w:ascii="宋体" w:hAnsi="宋体" w:cs="宋体"/>
                <w:sz w:val="24"/>
                <w:szCs w:val="24"/>
              </w:rPr>
              <w:t>全面、可行、合理、可操作性强、针对性强的得4</w:t>
            </w:r>
            <w:r>
              <w:rPr>
                <w:rFonts w:hint="eastAsia" w:ascii="宋体" w:hAnsi="宋体" w:cs="宋体"/>
                <w:sz w:val="24"/>
                <w:szCs w:val="24"/>
                <w:lang w:val="en-US" w:eastAsia="zh-CN"/>
              </w:rPr>
              <w:t>0</w:t>
            </w:r>
            <w:r>
              <w:rPr>
                <w:rFonts w:hint="eastAsia" w:ascii="宋体" w:hAnsi="宋体" w:cs="宋体"/>
                <w:sz w:val="24"/>
                <w:szCs w:val="24"/>
              </w:rPr>
              <w:t>分；</w:t>
            </w:r>
          </w:p>
          <w:p>
            <w:pPr>
              <w:spacing w:line="360" w:lineRule="auto"/>
              <w:ind w:firstLine="360"/>
              <w:rPr>
                <w:rFonts w:hint="default" w:ascii="宋体" w:hAnsi="宋体" w:eastAsia="宋体" w:cs="宋体"/>
                <w:sz w:val="24"/>
                <w:szCs w:val="24"/>
                <w:lang w:val="en-US" w:eastAsia="zh-CN"/>
              </w:rPr>
            </w:pPr>
            <w:r>
              <w:rPr>
                <w:rFonts w:hint="eastAsia" w:ascii="宋体" w:hAnsi="宋体" w:cs="宋体"/>
                <w:sz w:val="24"/>
                <w:szCs w:val="24"/>
              </w:rPr>
              <w:t>2、</w:t>
            </w:r>
            <w:r>
              <w:rPr>
                <w:rFonts w:hint="eastAsia" w:ascii="宋体" w:hAnsi="宋体" w:cs="宋体"/>
                <w:sz w:val="24"/>
                <w:szCs w:val="24"/>
                <w:lang w:val="en-US" w:eastAsia="zh-CN"/>
              </w:rPr>
              <w:t>方案设计较好、比较全面、可行、比较合理、</w:t>
            </w:r>
            <w:r>
              <w:rPr>
                <w:rFonts w:hint="eastAsia" w:ascii="宋体" w:hAnsi="宋体" w:cs="宋体"/>
                <w:sz w:val="24"/>
                <w:szCs w:val="24"/>
              </w:rPr>
              <w:t>可操作性</w:t>
            </w:r>
            <w:r>
              <w:rPr>
                <w:rFonts w:hint="eastAsia" w:ascii="宋体" w:hAnsi="宋体" w:cs="宋体"/>
                <w:sz w:val="24"/>
                <w:szCs w:val="24"/>
                <w:lang w:val="en-US" w:eastAsia="zh-CN"/>
              </w:rPr>
              <w:t>较</w:t>
            </w:r>
            <w:r>
              <w:rPr>
                <w:rFonts w:hint="eastAsia" w:ascii="宋体" w:hAnsi="宋体" w:cs="宋体"/>
                <w:sz w:val="24"/>
                <w:szCs w:val="24"/>
              </w:rPr>
              <w:t>强、针对性</w:t>
            </w:r>
            <w:r>
              <w:rPr>
                <w:rFonts w:hint="eastAsia" w:ascii="宋体" w:hAnsi="宋体" w:cs="宋体"/>
                <w:sz w:val="24"/>
                <w:szCs w:val="24"/>
                <w:lang w:val="en-US" w:eastAsia="zh-CN"/>
              </w:rPr>
              <w:t>较</w:t>
            </w:r>
            <w:r>
              <w:rPr>
                <w:rFonts w:hint="eastAsia" w:ascii="宋体" w:hAnsi="宋体" w:cs="宋体"/>
                <w:sz w:val="24"/>
                <w:szCs w:val="24"/>
              </w:rPr>
              <w:t>强的得</w:t>
            </w:r>
            <w:r>
              <w:rPr>
                <w:rFonts w:hint="eastAsia" w:ascii="宋体" w:hAnsi="宋体" w:cs="宋体"/>
                <w:sz w:val="24"/>
                <w:szCs w:val="24"/>
                <w:lang w:val="en-US" w:eastAsia="zh-CN"/>
              </w:rPr>
              <w:t>30</w:t>
            </w:r>
            <w:r>
              <w:rPr>
                <w:rFonts w:hint="eastAsia" w:ascii="宋体" w:hAnsi="宋体" w:cs="宋体"/>
                <w:sz w:val="24"/>
                <w:szCs w:val="24"/>
              </w:rPr>
              <w:t>分；</w:t>
            </w:r>
          </w:p>
          <w:p>
            <w:pPr>
              <w:spacing w:line="360" w:lineRule="auto"/>
              <w:ind w:firstLine="36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方案设计</w:t>
            </w:r>
            <w:r>
              <w:rPr>
                <w:rFonts w:hint="eastAsia" w:ascii="宋体" w:hAnsi="宋体" w:cs="宋体"/>
                <w:sz w:val="24"/>
                <w:szCs w:val="24"/>
              </w:rPr>
              <w:t>基本完整、基本可行、基本合理、具有一定的可操作性、针对性的得</w:t>
            </w:r>
            <w:r>
              <w:rPr>
                <w:rFonts w:hint="eastAsia" w:ascii="宋体" w:hAnsi="宋体" w:cs="宋体"/>
                <w:sz w:val="24"/>
                <w:szCs w:val="24"/>
                <w:lang w:val="en-US" w:eastAsia="zh-CN"/>
              </w:rPr>
              <w:t>2</w:t>
            </w:r>
            <w:r>
              <w:rPr>
                <w:rFonts w:hint="eastAsia" w:ascii="宋体" w:hAnsi="宋体" w:cs="宋体"/>
                <w:sz w:val="24"/>
                <w:szCs w:val="24"/>
              </w:rPr>
              <w:t>0分；</w:t>
            </w:r>
          </w:p>
          <w:p>
            <w:pPr>
              <w:spacing w:line="360" w:lineRule="auto"/>
              <w:ind w:firstLine="360"/>
              <w:rPr>
                <w:rFonts w:hint="eastAsia"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方案设计</w:t>
            </w:r>
            <w:r>
              <w:rPr>
                <w:rFonts w:hint="eastAsia" w:ascii="宋体" w:hAnsi="宋体" w:cs="宋体"/>
                <w:sz w:val="24"/>
                <w:szCs w:val="24"/>
              </w:rPr>
              <w:t>不清晰、不完整、不太合理、缺乏可操作性、缺乏针对性的得分1</w:t>
            </w:r>
            <w:r>
              <w:rPr>
                <w:rFonts w:hint="eastAsia" w:ascii="宋体" w:hAnsi="宋体" w:cs="宋体"/>
                <w:sz w:val="24"/>
                <w:szCs w:val="24"/>
                <w:lang w:val="en-US" w:eastAsia="zh-CN"/>
              </w:rPr>
              <w:t>0</w:t>
            </w:r>
            <w:r>
              <w:rPr>
                <w:rFonts w:hint="eastAsia" w:ascii="宋体" w:hAnsi="宋体" w:cs="宋体"/>
                <w:sz w:val="24"/>
                <w:szCs w:val="24"/>
              </w:rPr>
              <w:t>分；</w:t>
            </w:r>
          </w:p>
          <w:p>
            <w:pPr>
              <w:spacing w:line="360" w:lineRule="auto"/>
              <w:ind w:firstLine="360"/>
              <w:rPr>
                <w:rFonts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无此项不得分。</w:t>
            </w:r>
          </w:p>
        </w:tc>
      </w:tr>
      <w:tr>
        <w:tblPrEx>
          <w:shd w:val="clear" w:color="auto" w:fill="FFFFFF"/>
          <w:tblCellMar>
            <w:top w:w="15" w:type="dxa"/>
            <w:left w:w="15" w:type="dxa"/>
            <w:bottom w:w="15" w:type="dxa"/>
            <w:right w:w="15" w:type="dxa"/>
          </w:tblCellMar>
        </w:tblPrEx>
        <w:trPr>
          <w:trHeight w:val="3368"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项目实施计划（1</w:t>
            </w:r>
            <w:r>
              <w:rPr>
                <w:rFonts w:hint="eastAsia" w:ascii="宋体" w:hAnsi="宋体" w:cs="宋体"/>
                <w:b/>
                <w:bCs/>
                <w:kern w:val="0"/>
                <w:sz w:val="24"/>
                <w:szCs w:val="24"/>
                <w:lang w:val="en-US" w:eastAsia="zh-CN"/>
              </w:rPr>
              <w:t>5</w:t>
            </w:r>
            <w:r>
              <w:rPr>
                <w:rFonts w:hint="eastAsia" w:ascii="宋体" w:hAnsi="宋体" w:cs="宋体"/>
                <w:b/>
                <w:bCs/>
                <w:kern w:val="0"/>
                <w:sz w:val="24"/>
                <w:szCs w:val="24"/>
              </w:rPr>
              <w:t>分）</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60"/>
              <w:rPr>
                <w:rFonts w:ascii="宋体" w:hAnsi="宋体" w:cs="宋体"/>
                <w:sz w:val="24"/>
                <w:szCs w:val="24"/>
              </w:rPr>
            </w:pPr>
            <w:r>
              <w:rPr>
                <w:rFonts w:hint="eastAsia" w:ascii="宋体" w:hAnsi="宋体" w:cs="宋体"/>
                <w:sz w:val="24"/>
                <w:szCs w:val="24"/>
              </w:rPr>
              <w:t>根据供应商提供本项目分期实施计划方案、实施工期安排的科学性、合理性、规范性和可操作性。</w:t>
            </w:r>
          </w:p>
          <w:p>
            <w:pPr>
              <w:numPr>
                <w:ilvl w:val="0"/>
                <w:numId w:val="4"/>
              </w:numPr>
              <w:spacing w:line="360" w:lineRule="auto"/>
              <w:ind w:firstLine="360"/>
            </w:pPr>
            <w:r>
              <w:rPr>
                <w:rFonts w:hint="eastAsia" w:ascii="宋体" w:hAnsi="宋体" w:cs="宋体"/>
                <w:sz w:val="24"/>
                <w:szCs w:val="24"/>
              </w:rPr>
              <w:t>全面、可行、合理、针对性强的得1</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en-US" w:eastAsia="zh-CN"/>
              </w:rPr>
              <w:t xml:space="preserve">                      </w:t>
            </w:r>
          </w:p>
          <w:p>
            <w:pPr>
              <w:spacing w:line="360" w:lineRule="auto"/>
              <w:ind w:firstLine="360"/>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较为</w:t>
            </w:r>
            <w:r>
              <w:rPr>
                <w:rFonts w:hint="eastAsia" w:ascii="宋体" w:hAnsi="宋体" w:cs="宋体"/>
                <w:sz w:val="24"/>
                <w:szCs w:val="24"/>
              </w:rPr>
              <w:t>全面、</w:t>
            </w:r>
            <w:r>
              <w:rPr>
                <w:rFonts w:hint="eastAsia" w:ascii="宋体" w:hAnsi="宋体" w:cs="宋体"/>
                <w:sz w:val="24"/>
                <w:szCs w:val="24"/>
                <w:lang w:val="en-US" w:eastAsia="zh-CN"/>
              </w:rPr>
              <w:t>基本</w:t>
            </w:r>
            <w:r>
              <w:rPr>
                <w:rFonts w:hint="eastAsia" w:ascii="宋体" w:hAnsi="宋体" w:cs="宋体"/>
                <w:sz w:val="24"/>
                <w:szCs w:val="24"/>
              </w:rPr>
              <w:t>可行、</w:t>
            </w:r>
            <w:r>
              <w:rPr>
                <w:rFonts w:hint="eastAsia" w:ascii="宋体" w:hAnsi="宋体" w:cs="宋体"/>
                <w:sz w:val="24"/>
                <w:szCs w:val="24"/>
                <w:lang w:val="en-US" w:eastAsia="zh-CN"/>
              </w:rPr>
              <w:t>比较</w:t>
            </w:r>
            <w:r>
              <w:rPr>
                <w:rFonts w:hint="eastAsia" w:ascii="宋体" w:hAnsi="宋体" w:cs="宋体"/>
                <w:sz w:val="24"/>
                <w:szCs w:val="24"/>
              </w:rPr>
              <w:t>合理、针对性</w:t>
            </w:r>
            <w:r>
              <w:rPr>
                <w:rFonts w:hint="eastAsia" w:ascii="宋体" w:hAnsi="宋体" w:cs="宋体"/>
                <w:sz w:val="24"/>
                <w:szCs w:val="24"/>
                <w:lang w:val="en-US" w:eastAsia="zh-CN"/>
              </w:rPr>
              <w:t>较</w:t>
            </w:r>
            <w:r>
              <w:rPr>
                <w:rFonts w:hint="eastAsia" w:ascii="宋体" w:hAnsi="宋体" w:cs="宋体"/>
                <w:sz w:val="24"/>
                <w:szCs w:val="24"/>
              </w:rPr>
              <w:t>强的得1</w:t>
            </w:r>
            <w:r>
              <w:rPr>
                <w:rFonts w:hint="eastAsia" w:ascii="宋体" w:hAnsi="宋体" w:cs="宋体"/>
                <w:sz w:val="24"/>
                <w:szCs w:val="24"/>
                <w:lang w:val="en-US" w:eastAsia="zh-CN"/>
              </w:rPr>
              <w:t>5</w:t>
            </w:r>
            <w:r>
              <w:rPr>
                <w:rFonts w:hint="eastAsia" w:ascii="宋体" w:hAnsi="宋体" w:cs="宋体"/>
                <w:sz w:val="24"/>
                <w:szCs w:val="24"/>
              </w:rPr>
              <w:t>分；</w:t>
            </w:r>
            <w:r>
              <w:rPr>
                <w:rFonts w:hint="eastAsia" w:ascii="宋体" w:hAnsi="宋体" w:cs="宋体"/>
                <w:sz w:val="24"/>
                <w:szCs w:val="24"/>
                <w:lang w:val="en-US" w:eastAsia="zh-CN"/>
              </w:rPr>
              <w:t xml:space="preserve"> </w:t>
            </w:r>
          </w:p>
          <w:p>
            <w:pPr>
              <w:spacing w:line="360" w:lineRule="auto"/>
              <w:ind w:firstLine="36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不清晰、不完整、不太合理、缺乏可操作性、缺乏针对性的得分</w:t>
            </w:r>
            <w:r>
              <w:rPr>
                <w:rFonts w:hint="eastAsia" w:ascii="宋体" w:hAnsi="宋体" w:cs="宋体"/>
                <w:sz w:val="24"/>
                <w:szCs w:val="24"/>
                <w:lang w:val="en-US" w:eastAsia="zh-CN"/>
              </w:rPr>
              <w:t>5</w:t>
            </w:r>
            <w:r>
              <w:rPr>
                <w:rFonts w:hint="eastAsia" w:ascii="宋体" w:hAnsi="宋体" w:cs="宋体"/>
                <w:sz w:val="24"/>
                <w:szCs w:val="24"/>
              </w:rPr>
              <w:t>分；</w:t>
            </w:r>
          </w:p>
          <w:p>
            <w:pPr>
              <w:spacing w:line="360" w:lineRule="auto"/>
              <w:ind w:firstLine="360"/>
              <w:rPr>
                <w:rFonts w:ascii="宋体" w:hAnsi="宋体" w:cs="宋体"/>
                <w:sz w:val="24"/>
                <w:szCs w:val="24"/>
              </w:rPr>
            </w:pPr>
            <w:r>
              <w:rPr>
                <w:rFonts w:hint="eastAsia" w:ascii="宋体" w:hAnsi="宋体" w:cs="宋体"/>
                <w:sz w:val="24"/>
                <w:szCs w:val="24"/>
              </w:rPr>
              <w:t>3、无此项不得分。</w:t>
            </w:r>
          </w:p>
        </w:tc>
      </w:tr>
      <w:tr>
        <w:tblPrEx>
          <w:shd w:val="clear" w:color="auto" w:fill="FFFFFF"/>
          <w:tblCellMar>
            <w:top w:w="15" w:type="dxa"/>
            <w:left w:w="15" w:type="dxa"/>
            <w:bottom w:w="15" w:type="dxa"/>
            <w:right w:w="15" w:type="dxa"/>
          </w:tblCellMar>
        </w:tblPrEx>
        <w:trPr>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提供</w:t>
            </w:r>
            <w:r>
              <w:rPr>
                <w:rFonts w:hint="eastAsia" w:ascii="宋体" w:hAnsi="宋体" w:cs="宋体"/>
                <w:b/>
                <w:bCs/>
                <w:kern w:val="0"/>
                <w:sz w:val="24"/>
                <w:szCs w:val="24"/>
              </w:rPr>
              <w:t>培训服务</w:t>
            </w:r>
            <w:r>
              <w:rPr>
                <w:rFonts w:hint="eastAsia" w:ascii="宋体" w:hAnsi="宋体" w:cs="宋体"/>
                <w:b/>
                <w:bCs/>
                <w:kern w:val="0"/>
                <w:sz w:val="24"/>
                <w:szCs w:val="24"/>
                <w:lang w:val="en-US" w:eastAsia="zh-CN"/>
              </w:rPr>
              <w:t>方案</w:t>
            </w:r>
          </w:p>
          <w:p>
            <w:pPr>
              <w:spacing w:line="360" w:lineRule="auto"/>
              <w:jc w:val="center"/>
              <w:rPr>
                <w:rFonts w:ascii="宋体" w:hAnsi="宋体" w:cs="宋体"/>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val="en-US" w:eastAsia="zh-CN"/>
              </w:rPr>
              <w:t>6</w:t>
            </w:r>
            <w:r>
              <w:rPr>
                <w:rFonts w:hint="eastAsia" w:ascii="宋体" w:hAnsi="宋体" w:cs="宋体"/>
                <w:b/>
                <w:bCs/>
                <w:kern w:val="0"/>
                <w:sz w:val="24"/>
                <w:szCs w:val="24"/>
              </w:rPr>
              <w:t>分）</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360"/>
              <w:rPr>
                <w:rFonts w:ascii="宋体" w:hAnsi="宋体" w:cs="宋体"/>
                <w:sz w:val="24"/>
                <w:szCs w:val="24"/>
              </w:rPr>
            </w:pPr>
            <w:r>
              <w:rPr>
                <w:rFonts w:hint="eastAsia" w:ascii="宋体" w:hAnsi="宋体" w:cs="宋体"/>
                <w:sz w:val="24"/>
                <w:szCs w:val="24"/>
              </w:rPr>
              <w:t>根据响应人针对所投项目的相关培训服务进行综合评价：</w:t>
            </w:r>
          </w:p>
          <w:p>
            <w:pPr>
              <w:spacing w:line="360" w:lineRule="auto"/>
              <w:ind w:firstLine="360"/>
              <w:rPr>
                <w:rFonts w:ascii="宋体" w:hAnsi="宋体" w:cs="宋体"/>
                <w:sz w:val="24"/>
                <w:szCs w:val="24"/>
              </w:rPr>
            </w:pPr>
            <w:r>
              <w:rPr>
                <w:rFonts w:hint="eastAsia" w:ascii="宋体" w:hAnsi="宋体" w:cs="宋体"/>
                <w:sz w:val="24"/>
                <w:szCs w:val="24"/>
              </w:rPr>
              <w:t>1、培训服务方案详细，切实可行、操作性强得</w:t>
            </w:r>
            <w:r>
              <w:rPr>
                <w:rFonts w:hint="eastAsia" w:ascii="宋体" w:hAnsi="宋体" w:cs="宋体"/>
                <w:sz w:val="24"/>
                <w:szCs w:val="24"/>
                <w:lang w:val="en-US" w:eastAsia="zh-CN"/>
              </w:rPr>
              <w:t>6</w:t>
            </w:r>
            <w:r>
              <w:rPr>
                <w:rFonts w:hint="eastAsia" w:ascii="宋体" w:hAnsi="宋体" w:cs="宋体"/>
                <w:sz w:val="24"/>
                <w:szCs w:val="24"/>
              </w:rPr>
              <w:t xml:space="preserve">分； </w:t>
            </w:r>
          </w:p>
          <w:p>
            <w:pPr>
              <w:spacing w:line="360" w:lineRule="auto"/>
              <w:ind w:firstLine="360"/>
              <w:rPr>
                <w:rFonts w:hint="eastAsia" w:ascii="宋体" w:hAnsi="宋体" w:cs="宋体"/>
                <w:sz w:val="24"/>
                <w:szCs w:val="24"/>
              </w:rPr>
            </w:pPr>
            <w:r>
              <w:rPr>
                <w:rFonts w:hint="eastAsia" w:ascii="宋体" w:hAnsi="宋体" w:cs="宋体"/>
                <w:sz w:val="24"/>
                <w:szCs w:val="24"/>
              </w:rPr>
              <w:t xml:space="preserve">2、培训服务方案一般，落地性较差得 </w:t>
            </w:r>
            <w:r>
              <w:rPr>
                <w:rFonts w:hint="eastAsia" w:ascii="宋体" w:hAnsi="宋体" w:cs="宋体"/>
                <w:sz w:val="24"/>
                <w:szCs w:val="24"/>
                <w:lang w:val="en-US" w:eastAsia="zh-CN"/>
              </w:rPr>
              <w:t>4</w:t>
            </w:r>
            <w:r>
              <w:rPr>
                <w:rFonts w:hint="eastAsia" w:ascii="宋体" w:hAnsi="宋体" w:cs="宋体"/>
                <w:sz w:val="24"/>
                <w:szCs w:val="24"/>
              </w:rPr>
              <w:t xml:space="preserve"> 分。</w:t>
            </w:r>
          </w:p>
          <w:p>
            <w:pPr>
              <w:spacing w:line="360" w:lineRule="auto"/>
              <w:ind w:firstLine="360"/>
            </w:pPr>
            <w:r>
              <w:rPr>
                <w:rFonts w:hint="eastAsia" w:ascii="宋体" w:hAnsi="宋体" w:cs="宋体"/>
                <w:sz w:val="24"/>
                <w:szCs w:val="24"/>
                <w:lang w:val="en-US" w:eastAsia="zh-CN"/>
              </w:rPr>
              <w:t>3、培训服务方案差，落地性差得2分。</w:t>
            </w:r>
          </w:p>
        </w:tc>
      </w:tr>
      <w:tr>
        <w:tblPrEx>
          <w:shd w:val="clear" w:color="auto" w:fill="FFFFFF"/>
          <w:tblCellMar>
            <w:top w:w="15" w:type="dxa"/>
            <w:left w:w="15" w:type="dxa"/>
            <w:bottom w:w="15" w:type="dxa"/>
            <w:right w:w="15" w:type="dxa"/>
          </w:tblCellMar>
        </w:tblPrEx>
        <w:trPr>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类似项目</w:t>
            </w:r>
          </w:p>
          <w:p>
            <w:pPr>
              <w:spacing w:line="360" w:lineRule="auto"/>
              <w:jc w:val="center"/>
              <w:rPr>
                <w:rFonts w:ascii="宋体" w:hAnsi="宋体" w:cs="宋体"/>
                <w:b/>
                <w:bCs/>
                <w:kern w:val="0"/>
                <w:sz w:val="24"/>
                <w:szCs w:val="24"/>
              </w:rPr>
            </w:pPr>
            <w:r>
              <w:rPr>
                <w:rFonts w:hint="eastAsia" w:ascii="宋体" w:hAnsi="宋体" w:cs="宋体"/>
                <w:b/>
                <w:bCs/>
                <w:kern w:val="0"/>
                <w:sz w:val="24"/>
                <w:szCs w:val="24"/>
              </w:rPr>
              <w:t>业绩</w:t>
            </w:r>
          </w:p>
          <w:p>
            <w:pPr>
              <w:spacing w:line="360" w:lineRule="auto"/>
              <w:jc w:val="center"/>
              <w:rPr>
                <w:rFonts w:ascii="宋体" w:hAnsi="宋体" w:cs="宋体"/>
                <w:kern w:val="0"/>
                <w:sz w:val="24"/>
                <w:szCs w:val="24"/>
              </w:rPr>
            </w:pPr>
            <w:r>
              <w:rPr>
                <w:rFonts w:hint="eastAsia" w:ascii="宋体" w:hAnsi="宋体" w:cs="宋体"/>
                <w:b/>
                <w:bCs/>
                <w:kern w:val="0"/>
                <w:sz w:val="24"/>
                <w:szCs w:val="24"/>
              </w:rPr>
              <w:t>（</w:t>
            </w:r>
            <w:r>
              <w:rPr>
                <w:rFonts w:hint="eastAsia" w:ascii="宋体" w:hAnsi="宋体" w:cs="宋体"/>
                <w:b/>
                <w:bCs/>
                <w:kern w:val="0"/>
                <w:sz w:val="24"/>
                <w:szCs w:val="24"/>
                <w:lang w:val="en-US" w:eastAsia="zh-CN"/>
              </w:rPr>
              <w:t>9</w:t>
            </w:r>
            <w:r>
              <w:rPr>
                <w:rFonts w:hint="eastAsia" w:ascii="宋体" w:hAnsi="宋体" w:cs="宋体"/>
                <w:b/>
                <w:bCs/>
                <w:kern w:val="0"/>
                <w:sz w:val="24"/>
                <w:szCs w:val="24"/>
              </w:rPr>
              <w:t>分）</w:t>
            </w: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20" w:firstLineChars="175"/>
              <w:rPr>
                <w:rFonts w:ascii="宋体" w:hAnsi="宋体" w:cs="宋体"/>
                <w:sz w:val="24"/>
                <w:szCs w:val="24"/>
              </w:rPr>
            </w:pPr>
            <w:r>
              <w:rPr>
                <w:rFonts w:hint="eastAsia" w:ascii="宋体" w:hAnsi="宋体" w:cs="宋体"/>
                <w:sz w:val="24"/>
                <w:szCs w:val="24"/>
              </w:rPr>
              <w:t>响应人提供自2021年以来与所投设计项目类似业绩及对应用户清单和证明材料。每提供一份与客户签订的类似项目合同相关页的复印件得</w:t>
            </w:r>
            <w:r>
              <w:rPr>
                <w:rFonts w:hint="eastAsia" w:ascii="宋体" w:hAnsi="宋体" w:cs="宋体"/>
                <w:sz w:val="24"/>
                <w:szCs w:val="24"/>
                <w:lang w:val="en-US" w:eastAsia="zh-CN"/>
              </w:rPr>
              <w:t>3</w:t>
            </w:r>
            <w:r>
              <w:rPr>
                <w:rFonts w:hint="eastAsia" w:ascii="宋体" w:hAnsi="宋体" w:cs="宋体"/>
                <w:sz w:val="24"/>
                <w:szCs w:val="24"/>
              </w:rPr>
              <w:t>分，最多</w:t>
            </w:r>
            <w:r>
              <w:rPr>
                <w:rFonts w:hint="eastAsia" w:ascii="宋体" w:hAnsi="宋体" w:cs="宋体"/>
                <w:sz w:val="24"/>
                <w:szCs w:val="24"/>
                <w:lang w:val="en-US" w:eastAsia="zh-CN"/>
              </w:rPr>
              <w:t>9</w:t>
            </w:r>
            <w:r>
              <w:rPr>
                <w:rFonts w:hint="eastAsia" w:ascii="宋体" w:hAnsi="宋体" w:cs="宋体"/>
                <w:sz w:val="24"/>
                <w:szCs w:val="24"/>
              </w:rPr>
              <w:t>分。</w:t>
            </w:r>
          </w:p>
          <w:p>
            <w:pPr>
              <w:spacing w:line="360" w:lineRule="auto"/>
              <w:ind w:firstLine="360"/>
              <w:rPr>
                <w:rFonts w:ascii="宋体" w:hAnsi="宋体" w:cs="宋体"/>
                <w:sz w:val="24"/>
                <w:szCs w:val="24"/>
              </w:rPr>
            </w:pPr>
            <w:r>
              <w:rPr>
                <w:rFonts w:hint="eastAsia" w:ascii="宋体" w:hAnsi="宋体" w:cs="宋体"/>
                <w:sz w:val="24"/>
                <w:szCs w:val="24"/>
              </w:rPr>
              <w:t>注：合同复印件中需反映出签约双方名称及公章、签约时间、服务内容等。</w:t>
            </w:r>
          </w:p>
        </w:tc>
      </w:tr>
      <w:tr>
        <w:tblPrEx>
          <w:shd w:val="clear" w:color="auto" w:fill="FFFFFF"/>
          <w:tblCellMar>
            <w:top w:w="15" w:type="dxa"/>
            <w:left w:w="15" w:type="dxa"/>
            <w:bottom w:w="15" w:type="dxa"/>
            <w:right w:w="15" w:type="dxa"/>
          </w:tblCellMar>
        </w:tblPrEx>
        <w:trPr>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宋体" w:hAnsi="宋体" w:cs="宋体"/>
                <w:b/>
                <w:bCs/>
                <w:kern w:val="0"/>
                <w:sz w:val="24"/>
                <w:szCs w:val="24"/>
              </w:rPr>
            </w:pPr>
            <w:r>
              <w:rPr>
                <w:rFonts w:hint="eastAsia" w:ascii="宋体" w:hAnsi="宋体" w:cs="宋体"/>
                <w:b/>
                <w:bCs/>
                <w:kern w:val="0"/>
                <w:sz w:val="24"/>
                <w:szCs w:val="24"/>
              </w:rPr>
              <w:t>人员配备</w:t>
            </w:r>
          </w:p>
          <w:p>
            <w:pPr>
              <w:spacing w:line="360" w:lineRule="auto"/>
              <w:jc w:val="center"/>
              <w:rPr>
                <w:rFonts w:ascii="宋体" w:hAnsi="宋体" w:cs="宋体"/>
                <w:kern w:val="0"/>
                <w:sz w:val="24"/>
                <w:szCs w:val="24"/>
              </w:rPr>
            </w:pPr>
            <w:r>
              <w:rPr>
                <w:rFonts w:hint="eastAsia" w:ascii="宋体" w:hAnsi="宋体" w:cs="宋体"/>
                <w:b/>
                <w:bCs/>
                <w:kern w:val="0"/>
                <w:sz w:val="24"/>
                <w:szCs w:val="24"/>
              </w:rPr>
              <w:t>（10分</w:t>
            </w:r>
            <w:r>
              <w:rPr>
                <w:rFonts w:hint="eastAsia" w:ascii="宋体" w:hAnsi="宋体" w:cs="宋体"/>
                <w:kern w:val="0"/>
                <w:sz w:val="24"/>
                <w:szCs w:val="24"/>
              </w:rPr>
              <w:t>）</w:t>
            </w:r>
          </w:p>
          <w:p>
            <w:pPr>
              <w:spacing w:line="360" w:lineRule="auto"/>
              <w:ind w:firstLine="361"/>
              <w:jc w:val="center"/>
              <w:rPr>
                <w:rFonts w:ascii="宋体" w:hAnsi="宋体" w:cs="宋体"/>
                <w:b/>
                <w:bCs/>
                <w:sz w:val="24"/>
                <w:szCs w:val="24"/>
              </w:rPr>
            </w:pPr>
          </w:p>
        </w:tc>
        <w:tc>
          <w:tcPr>
            <w:tcW w:w="7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utoSpaceDE w:val="0"/>
              <w:autoSpaceDN w:val="0"/>
              <w:spacing w:line="360" w:lineRule="auto"/>
              <w:ind w:firstLine="360"/>
              <w:rPr>
                <w:sz w:val="24"/>
                <w:szCs w:val="24"/>
              </w:rPr>
            </w:pPr>
            <w:r>
              <w:rPr>
                <w:rFonts w:hint="eastAsia" w:ascii="宋体" w:hAnsi="宋体" w:cs="宋体"/>
                <w:sz w:val="24"/>
                <w:szCs w:val="24"/>
              </w:rPr>
              <w:t>满足磋商文件要求的情况下，提供国家人力资源管理相关资质证书，每个得2.5分，满分10分。（须提供证书复印件及2024年连续三个月缴纳社保的证明）</w:t>
            </w:r>
          </w:p>
        </w:tc>
      </w:tr>
    </w:tbl>
    <w:p>
      <w:pPr>
        <w:pStyle w:val="7"/>
        <w:ind w:firstLine="240" w:firstLineChars="100"/>
        <w:rPr>
          <w:rFonts w:ascii="宋体" w:hAnsi="宋体" w:cs="宋体"/>
          <w:sz w:val="24"/>
          <w:szCs w:val="24"/>
        </w:rPr>
      </w:pPr>
    </w:p>
    <w:p>
      <w:pPr>
        <w:rPr>
          <w:rFonts w:ascii="宋体" w:hAnsi="宋体" w:cs="宋体"/>
          <w:bCs/>
          <w:sz w:val="36"/>
          <w:szCs w:val="36"/>
        </w:rPr>
      </w:pPr>
    </w:p>
    <w:sectPr>
      <w:headerReference r:id="rId3" w:type="default"/>
      <w:footerReference r:id="rId4"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AFF" w:usb1="C0007841" w:usb2="00000009" w:usb3="00000000" w:csb0="400001FF" w:csb1="FFFF0000"/>
  </w:font>
  <w:font w:name="宋体">
    <w:altName w:val="汉仪书宋二KW"/>
    <w:panose1 w:val="02010600030101010101"/>
    <w:charset w:val="34"/>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等线 Light">
    <w:altName w:val="Noto Serif CJK SC"/>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Georgia">
    <w:panose1 w:val="02040502050405020303"/>
    <w:charset w:val="00"/>
    <w:family w:val="auto"/>
    <w:pitch w:val="default"/>
    <w:sig w:usb0="00000287" w:usb1="00000000" w:usb2="00000000" w:usb3="00000000" w:csb0="2000009F" w:csb1="00000000"/>
  </w:font>
  <w:font w:name="Noto Serif CJK SC">
    <w:panose1 w:val="02020400000000000000"/>
    <w:charset w:val="86"/>
    <w:family w:val="auto"/>
    <w:pitch w:val="default"/>
    <w:sig w:usb0="30000083" w:usb1="2BDF3C10" w:usb2="00000016" w:usb3="00000000" w:csb0="602E0107"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324ED5"/>
    <w:multiLevelType w:val="multilevel"/>
    <w:tmpl w:val="4D324ED5"/>
    <w:lvl w:ilvl="0" w:tentative="0">
      <w:start w:val="1"/>
      <w:numFmt w:val="decimal"/>
      <w:pStyle w:val="2"/>
      <w:lvlText w:val="%1."/>
      <w:lvlJc w:val="left"/>
      <w:pPr>
        <w:tabs>
          <w:tab w:val="left" w:pos="360"/>
        </w:tabs>
        <w:ind w:left="360" w:hanging="360"/>
      </w:pPr>
      <w:rPr>
        <w:rFonts w:hint="default"/>
      </w:rPr>
    </w:lvl>
    <w:lvl w:ilvl="1" w:tentative="0">
      <w:start w:val="1"/>
      <w:numFmt w:val="decimal"/>
      <w:isLgl/>
      <w:lvlText w:val="%1.%2"/>
      <w:lvlJc w:val="left"/>
      <w:pPr>
        <w:tabs>
          <w:tab w:val="left" w:pos="1175"/>
        </w:tabs>
        <w:ind w:left="1175" w:hanging="750"/>
      </w:pPr>
      <w:rPr>
        <w:rFonts w:hint="default"/>
      </w:rPr>
    </w:lvl>
    <w:lvl w:ilvl="2" w:tentative="0">
      <w:start w:val="2"/>
      <w:numFmt w:val="decimal"/>
      <w:isLgl/>
      <w:lvlText w:val="%1.%2.%3"/>
      <w:lvlJc w:val="left"/>
      <w:pPr>
        <w:tabs>
          <w:tab w:val="left" w:pos="1930"/>
        </w:tabs>
        <w:ind w:left="1930" w:hanging="1080"/>
      </w:pPr>
      <w:rPr>
        <w:rFonts w:hint="default"/>
      </w:rPr>
    </w:lvl>
    <w:lvl w:ilvl="3" w:tentative="0">
      <w:start w:val="1"/>
      <w:numFmt w:val="decimal"/>
      <w:isLgl/>
      <w:lvlText w:val="%1.%2.%3.%4"/>
      <w:lvlJc w:val="left"/>
      <w:pPr>
        <w:tabs>
          <w:tab w:val="left" w:pos="2355"/>
        </w:tabs>
        <w:ind w:left="2355" w:hanging="1080"/>
      </w:pPr>
      <w:rPr>
        <w:rFonts w:hint="default"/>
      </w:rPr>
    </w:lvl>
    <w:lvl w:ilvl="4" w:tentative="0">
      <w:start w:val="1"/>
      <w:numFmt w:val="decimal"/>
      <w:isLgl/>
      <w:lvlText w:val="%1.%2.%3.%4.%5"/>
      <w:lvlJc w:val="left"/>
      <w:pPr>
        <w:tabs>
          <w:tab w:val="left" w:pos="3140"/>
        </w:tabs>
        <w:ind w:left="3140" w:hanging="1440"/>
      </w:pPr>
      <w:rPr>
        <w:rFonts w:hint="default"/>
      </w:rPr>
    </w:lvl>
    <w:lvl w:ilvl="5" w:tentative="0">
      <w:start w:val="1"/>
      <w:numFmt w:val="decimal"/>
      <w:isLgl/>
      <w:lvlText w:val="%1.%2.%3.%4.%5.%6"/>
      <w:lvlJc w:val="left"/>
      <w:pPr>
        <w:tabs>
          <w:tab w:val="left" w:pos="3925"/>
        </w:tabs>
        <w:ind w:left="3925" w:hanging="1800"/>
      </w:pPr>
      <w:rPr>
        <w:rFonts w:hint="default"/>
      </w:rPr>
    </w:lvl>
    <w:lvl w:ilvl="6" w:tentative="0">
      <w:start w:val="1"/>
      <w:numFmt w:val="decimal"/>
      <w:isLgl/>
      <w:lvlText w:val="%1.%2.%3.%4.%5.%6.%7"/>
      <w:lvlJc w:val="left"/>
      <w:pPr>
        <w:tabs>
          <w:tab w:val="left" w:pos="4710"/>
        </w:tabs>
        <w:ind w:left="4710" w:hanging="2160"/>
      </w:pPr>
      <w:rPr>
        <w:rFonts w:hint="default"/>
      </w:rPr>
    </w:lvl>
    <w:lvl w:ilvl="7" w:tentative="0">
      <w:start w:val="1"/>
      <w:numFmt w:val="decimal"/>
      <w:isLgl/>
      <w:lvlText w:val="%1.%2.%3.%4.%5.%6.%7.%8"/>
      <w:lvlJc w:val="left"/>
      <w:pPr>
        <w:tabs>
          <w:tab w:val="left" w:pos="5495"/>
        </w:tabs>
        <w:ind w:left="5495" w:hanging="2520"/>
      </w:pPr>
      <w:rPr>
        <w:rFonts w:hint="default"/>
      </w:rPr>
    </w:lvl>
    <w:lvl w:ilvl="8" w:tentative="0">
      <w:start w:val="1"/>
      <w:numFmt w:val="decimal"/>
      <w:isLgl/>
      <w:lvlText w:val="%1.%2.%3.%4.%5.%6.%7.%8.%9"/>
      <w:lvlJc w:val="left"/>
      <w:pPr>
        <w:tabs>
          <w:tab w:val="left" w:pos="6280"/>
        </w:tabs>
        <w:ind w:left="6280" w:hanging="2880"/>
      </w:pPr>
      <w:rPr>
        <w:rFonts w:hint="default"/>
      </w:rPr>
    </w:lvl>
  </w:abstractNum>
  <w:abstractNum w:abstractNumId="1">
    <w:nsid w:val="514220BC"/>
    <w:multiLevelType w:val="multilevel"/>
    <w:tmpl w:val="514220BC"/>
    <w:lvl w:ilvl="0" w:tentative="0">
      <w:start w:val="1"/>
      <w:numFmt w:val="decimal"/>
      <w:lvlText w:val="%1"/>
      <w:lvlJc w:val="left"/>
      <w:pPr>
        <w:ind w:left="0" w:firstLine="0"/>
      </w:pPr>
      <w:rPr>
        <w:rFonts w:hint="eastAsia"/>
      </w:rPr>
    </w:lvl>
    <w:lvl w:ilvl="1" w:tentative="0">
      <w:start w:val="1"/>
      <w:numFmt w:val="decimal"/>
      <w:lvlText w:val="%1.%2"/>
      <w:lvlJc w:val="left"/>
      <w:pPr>
        <w:ind w:left="142" w:firstLine="0"/>
      </w:pPr>
      <w:rPr>
        <w:rFonts w:hint="eastAsia"/>
      </w:rPr>
    </w:lvl>
    <w:lvl w:ilvl="2" w:tentative="0">
      <w:start w:val="1"/>
      <w:numFmt w:val="decimal"/>
      <w:lvlText w:val="%1.%2.%3"/>
      <w:lvlJc w:val="left"/>
      <w:pPr>
        <w:ind w:left="0" w:firstLine="0"/>
      </w:pPr>
      <w:rPr>
        <w:rFonts w:hint="eastAsia" w:ascii="宋体" w:hAnsi="宋体" w:eastAsia="宋体"/>
      </w:rPr>
    </w:lvl>
    <w:lvl w:ilvl="3" w:tentative="0">
      <w:start w:val="1"/>
      <w:numFmt w:val="decimal"/>
      <w:pStyle w:val="4"/>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5F4521A3"/>
    <w:multiLevelType w:val="multilevel"/>
    <w:tmpl w:val="5F4521A3"/>
    <w:lvl w:ilvl="0" w:tentative="0">
      <w:start w:val="1"/>
      <w:numFmt w:val="decimal"/>
      <w:suff w:val="nothing"/>
      <w:lvlText w:val="第%1章 "/>
      <w:lvlJc w:val="left"/>
      <w:pPr>
        <w:ind w:left="2640" w:firstLine="0"/>
      </w:pPr>
      <w:rPr>
        <w:rFonts w:hint="eastAsia"/>
      </w:rPr>
    </w:lvl>
    <w:lvl w:ilvl="1" w:tentative="0">
      <w:start w:val="1"/>
      <w:numFmt w:val="decimal"/>
      <w:pStyle w:val="3"/>
      <w:isLgl/>
      <w:suff w:val="nothing"/>
      <w:lvlText w:val="%1.%2 "/>
      <w:lvlJc w:val="left"/>
      <w:pPr>
        <w:ind w:left="0" w:firstLine="0"/>
      </w:pPr>
      <w:rPr>
        <w:rFonts w:hint="eastAsia"/>
      </w:rPr>
    </w:lvl>
    <w:lvl w:ilvl="2" w:tentative="0">
      <w:start w:val="1"/>
      <w:numFmt w:val="decimal"/>
      <w:isLgl/>
      <w:suff w:val="nothing"/>
      <w:lvlText w:val="1.%2.%3 "/>
      <w:lvlJc w:val="left"/>
      <w:pPr>
        <w:ind w:left="1470"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isLgl/>
      <w:suff w:val="nothing"/>
      <w:lvlText w:val="%1.%2.%3.%4 "/>
      <w:lvlJc w:val="left"/>
      <w:pPr>
        <w:ind w:left="0" w:firstLine="0"/>
      </w:pPr>
      <w:rPr>
        <w:rFonts w:hint="eastAsia"/>
      </w:rPr>
    </w:lvl>
    <w:lvl w:ilvl="4" w:tentative="0">
      <w:start w:val="1"/>
      <w:numFmt w:val="decimal"/>
      <w:isLgl/>
      <w:suff w:val="nothing"/>
      <w:lvlText w:val="%1.%2.%3.%4.%5 "/>
      <w:lvlJc w:val="left"/>
      <w:pPr>
        <w:ind w:left="-1320" w:firstLine="0"/>
      </w:pPr>
      <w:rPr>
        <w:rFonts w:hint="eastAsia"/>
      </w:rPr>
    </w:lvl>
    <w:lvl w:ilvl="5" w:tentative="0">
      <w:start w:val="1"/>
      <w:numFmt w:val="decimal"/>
      <w:isLgl/>
      <w:suff w:val="nothing"/>
      <w:lvlText w:val="%1.%2.%3.%4.%5.%6"/>
      <w:lvlJc w:val="left"/>
      <w:pPr>
        <w:ind w:left="-1320" w:firstLine="0"/>
      </w:pPr>
      <w:rPr>
        <w:rFonts w:hint="eastAsia"/>
      </w:rPr>
    </w:lvl>
    <w:lvl w:ilvl="6" w:tentative="0">
      <w:start w:val="1"/>
      <w:numFmt w:val="none"/>
      <w:suff w:val="nothing"/>
      <w:lvlText w:val=""/>
      <w:lvlJc w:val="left"/>
      <w:pPr>
        <w:ind w:left="-1320" w:firstLine="0"/>
      </w:pPr>
      <w:rPr>
        <w:rFonts w:hint="eastAsia"/>
      </w:rPr>
    </w:lvl>
    <w:lvl w:ilvl="7" w:tentative="0">
      <w:start w:val="1"/>
      <w:numFmt w:val="none"/>
      <w:suff w:val="nothing"/>
      <w:lvlText w:val=""/>
      <w:lvlJc w:val="left"/>
      <w:pPr>
        <w:ind w:left="-1320" w:firstLine="0"/>
      </w:pPr>
      <w:rPr>
        <w:rFonts w:hint="eastAsia"/>
      </w:rPr>
    </w:lvl>
    <w:lvl w:ilvl="8" w:tentative="0">
      <w:start w:val="1"/>
      <w:numFmt w:val="none"/>
      <w:suff w:val="nothing"/>
      <w:lvlText w:val=""/>
      <w:lvlJc w:val="left"/>
      <w:pPr>
        <w:ind w:left="-1320" w:firstLine="0"/>
      </w:pPr>
      <w:rPr>
        <w:rFonts w:hint="eastAsia"/>
      </w:rPr>
    </w:lvl>
  </w:abstractNum>
  <w:abstractNum w:abstractNumId="3">
    <w:nsid w:val="6509C343"/>
    <w:multiLevelType w:val="singleLevel"/>
    <w:tmpl w:val="6509C343"/>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UwMmEzYjJjZDc1MTA0NzAzYWIzYWFhZDU2ZjE5NDMifQ=="/>
  </w:docVars>
  <w:rsids>
    <w:rsidRoot w:val="007C000C"/>
    <w:rsid w:val="00011362"/>
    <w:rsid w:val="00015E9D"/>
    <w:rsid w:val="00032307"/>
    <w:rsid w:val="00034135"/>
    <w:rsid w:val="000C1785"/>
    <w:rsid w:val="000C564B"/>
    <w:rsid w:val="000F6F79"/>
    <w:rsid w:val="00142906"/>
    <w:rsid w:val="00151114"/>
    <w:rsid w:val="001808EA"/>
    <w:rsid w:val="001A14A1"/>
    <w:rsid w:val="001A76F4"/>
    <w:rsid w:val="001C5FEE"/>
    <w:rsid w:val="001C7EE1"/>
    <w:rsid w:val="001D7DD1"/>
    <w:rsid w:val="00206C90"/>
    <w:rsid w:val="002225E0"/>
    <w:rsid w:val="002457AC"/>
    <w:rsid w:val="002476B4"/>
    <w:rsid w:val="00296707"/>
    <w:rsid w:val="002B5B0A"/>
    <w:rsid w:val="0031099E"/>
    <w:rsid w:val="003553DE"/>
    <w:rsid w:val="003A0834"/>
    <w:rsid w:val="003D3275"/>
    <w:rsid w:val="003D4053"/>
    <w:rsid w:val="003D5816"/>
    <w:rsid w:val="003F4095"/>
    <w:rsid w:val="00492984"/>
    <w:rsid w:val="004A7D17"/>
    <w:rsid w:val="004C14F1"/>
    <w:rsid w:val="004E3405"/>
    <w:rsid w:val="004E5AC8"/>
    <w:rsid w:val="00520513"/>
    <w:rsid w:val="005B62B1"/>
    <w:rsid w:val="005B6CC8"/>
    <w:rsid w:val="005C37BE"/>
    <w:rsid w:val="005D0E8E"/>
    <w:rsid w:val="005D193E"/>
    <w:rsid w:val="005F126E"/>
    <w:rsid w:val="005F7D51"/>
    <w:rsid w:val="00634796"/>
    <w:rsid w:val="006416D5"/>
    <w:rsid w:val="00664134"/>
    <w:rsid w:val="0068057D"/>
    <w:rsid w:val="00693439"/>
    <w:rsid w:val="00740E45"/>
    <w:rsid w:val="007A1BD6"/>
    <w:rsid w:val="007B1603"/>
    <w:rsid w:val="007C000C"/>
    <w:rsid w:val="007C02C1"/>
    <w:rsid w:val="007C0EF2"/>
    <w:rsid w:val="007F233E"/>
    <w:rsid w:val="008641DB"/>
    <w:rsid w:val="008C0EC0"/>
    <w:rsid w:val="008D2704"/>
    <w:rsid w:val="008D3A41"/>
    <w:rsid w:val="008E13EC"/>
    <w:rsid w:val="008E3A98"/>
    <w:rsid w:val="00956F92"/>
    <w:rsid w:val="00975AA8"/>
    <w:rsid w:val="009D4F35"/>
    <w:rsid w:val="009F2E8F"/>
    <w:rsid w:val="009F7D41"/>
    <w:rsid w:val="00A001AD"/>
    <w:rsid w:val="00A22EF2"/>
    <w:rsid w:val="00A23D50"/>
    <w:rsid w:val="00A74183"/>
    <w:rsid w:val="00AB0E69"/>
    <w:rsid w:val="00AB700A"/>
    <w:rsid w:val="00AB7DAA"/>
    <w:rsid w:val="00AE2252"/>
    <w:rsid w:val="00B2679F"/>
    <w:rsid w:val="00B32217"/>
    <w:rsid w:val="00B478B9"/>
    <w:rsid w:val="00B824F0"/>
    <w:rsid w:val="00BA67F6"/>
    <w:rsid w:val="00BB06F8"/>
    <w:rsid w:val="00BD11E7"/>
    <w:rsid w:val="00BE1A02"/>
    <w:rsid w:val="00BF2972"/>
    <w:rsid w:val="00C23A02"/>
    <w:rsid w:val="00C2473E"/>
    <w:rsid w:val="00C33A77"/>
    <w:rsid w:val="00C76921"/>
    <w:rsid w:val="00C872BB"/>
    <w:rsid w:val="00C91B58"/>
    <w:rsid w:val="00CB3FA1"/>
    <w:rsid w:val="00CD5B68"/>
    <w:rsid w:val="00CE273C"/>
    <w:rsid w:val="00CE4E84"/>
    <w:rsid w:val="00D21F36"/>
    <w:rsid w:val="00D32AAE"/>
    <w:rsid w:val="00D5260F"/>
    <w:rsid w:val="00D8711A"/>
    <w:rsid w:val="00D9637F"/>
    <w:rsid w:val="00DA18C2"/>
    <w:rsid w:val="00DA7AE0"/>
    <w:rsid w:val="00E064BD"/>
    <w:rsid w:val="00E33BA6"/>
    <w:rsid w:val="00E34276"/>
    <w:rsid w:val="00E71511"/>
    <w:rsid w:val="00E855E7"/>
    <w:rsid w:val="00E877C6"/>
    <w:rsid w:val="00E92A58"/>
    <w:rsid w:val="00ED13C7"/>
    <w:rsid w:val="00ED411C"/>
    <w:rsid w:val="00EF1801"/>
    <w:rsid w:val="00F10485"/>
    <w:rsid w:val="00F143E7"/>
    <w:rsid w:val="00F41831"/>
    <w:rsid w:val="00F44F7A"/>
    <w:rsid w:val="00F777F7"/>
    <w:rsid w:val="00F936B4"/>
    <w:rsid w:val="01FD7E4B"/>
    <w:rsid w:val="0442423B"/>
    <w:rsid w:val="046B72BF"/>
    <w:rsid w:val="04893C18"/>
    <w:rsid w:val="068D21F1"/>
    <w:rsid w:val="07287718"/>
    <w:rsid w:val="07852DBD"/>
    <w:rsid w:val="07BE1E2B"/>
    <w:rsid w:val="09187C60"/>
    <w:rsid w:val="095C18FB"/>
    <w:rsid w:val="0A402FCB"/>
    <w:rsid w:val="0AEE75C3"/>
    <w:rsid w:val="0D1C7D1F"/>
    <w:rsid w:val="0EDB465D"/>
    <w:rsid w:val="0EEF6D6E"/>
    <w:rsid w:val="0FF26B15"/>
    <w:rsid w:val="10EA5A3E"/>
    <w:rsid w:val="12CD5618"/>
    <w:rsid w:val="12FB2185"/>
    <w:rsid w:val="137D2B9A"/>
    <w:rsid w:val="147815B3"/>
    <w:rsid w:val="15D849FF"/>
    <w:rsid w:val="16831A50"/>
    <w:rsid w:val="17FA5AF7"/>
    <w:rsid w:val="190653E0"/>
    <w:rsid w:val="19911A88"/>
    <w:rsid w:val="1A4153CE"/>
    <w:rsid w:val="1B783AC0"/>
    <w:rsid w:val="1E967206"/>
    <w:rsid w:val="1F7A6B27"/>
    <w:rsid w:val="22105124"/>
    <w:rsid w:val="22FE0C63"/>
    <w:rsid w:val="23284162"/>
    <w:rsid w:val="24523BCF"/>
    <w:rsid w:val="25C40AFC"/>
    <w:rsid w:val="273F5F9F"/>
    <w:rsid w:val="28C50E13"/>
    <w:rsid w:val="291504AC"/>
    <w:rsid w:val="2A1D4C7F"/>
    <w:rsid w:val="2B004385"/>
    <w:rsid w:val="2B4F2C16"/>
    <w:rsid w:val="2BCF6054"/>
    <w:rsid w:val="2F4405B8"/>
    <w:rsid w:val="2FFE4C0B"/>
    <w:rsid w:val="30861B2B"/>
    <w:rsid w:val="30AD0B0B"/>
    <w:rsid w:val="30B654E5"/>
    <w:rsid w:val="30DC4F4C"/>
    <w:rsid w:val="312B41D4"/>
    <w:rsid w:val="31FB7654"/>
    <w:rsid w:val="32046D5C"/>
    <w:rsid w:val="32315B1A"/>
    <w:rsid w:val="32425283"/>
    <w:rsid w:val="32DA370D"/>
    <w:rsid w:val="34DF325D"/>
    <w:rsid w:val="36146F36"/>
    <w:rsid w:val="362178A5"/>
    <w:rsid w:val="37404B77"/>
    <w:rsid w:val="38CC58A6"/>
    <w:rsid w:val="39C779F1"/>
    <w:rsid w:val="3A0A40CC"/>
    <w:rsid w:val="3BFC74D5"/>
    <w:rsid w:val="3D8E30A6"/>
    <w:rsid w:val="40A33655"/>
    <w:rsid w:val="415D5C35"/>
    <w:rsid w:val="42BD2703"/>
    <w:rsid w:val="439711A6"/>
    <w:rsid w:val="43B35A16"/>
    <w:rsid w:val="44BF6C07"/>
    <w:rsid w:val="44F92119"/>
    <w:rsid w:val="46ED7A5B"/>
    <w:rsid w:val="483E5F26"/>
    <w:rsid w:val="492E6109"/>
    <w:rsid w:val="49D93D12"/>
    <w:rsid w:val="49DB1DED"/>
    <w:rsid w:val="4B3E6ED7"/>
    <w:rsid w:val="4BE8259F"/>
    <w:rsid w:val="4C623459"/>
    <w:rsid w:val="4CDBE099"/>
    <w:rsid w:val="4D1B0A78"/>
    <w:rsid w:val="4D7C38E7"/>
    <w:rsid w:val="4E056021"/>
    <w:rsid w:val="4E353158"/>
    <w:rsid w:val="50334005"/>
    <w:rsid w:val="527B3878"/>
    <w:rsid w:val="52B47467"/>
    <w:rsid w:val="536C7C6B"/>
    <w:rsid w:val="55BF6A67"/>
    <w:rsid w:val="55DC2AD0"/>
    <w:rsid w:val="572957ED"/>
    <w:rsid w:val="57F40CD0"/>
    <w:rsid w:val="5B0D5B7E"/>
    <w:rsid w:val="5E5A37D0"/>
    <w:rsid w:val="5E9D36BD"/>
    <w:rsid w:val="5FC43E5C"/>
    <w:rsid w:val="61026334"/>
    <w:rsid w:val="61614E76"/>
    <w:rsid w:val="640772E8"/>
    <w:rsid w:val="65921AA2"/>
    <w:rsid w:val="66974C19"/>
    <w:rsid w:val="67987117"/>
    <w:rsid w:val="68AD09A1"/>
    <w:rsid w:val="69886D18"/>
    <w:rsid w:val="6A470981"/>
    <w:rsid w:val="6AE14931"/>
    <w:rsid w:val="6C553829"/>
    <w:rsid w:val="6DC5053A"/>
    <w:rsid w:val="6ECB7DD2"/>
    <w:rsid w:val="6F6F69B0"/>
    <w:rsid w:val="70E360B7"/>
    <w:rsid w:val="73B15772"/>
    <w:rsid w:val="74254390"/>
    <w:rsid w:val="748A7DE8"/>
    <w:rsid w:val="749173C8"/>
    <w:rsid w:val="77C16217"/>
    <w:rsid w:val="788B412F"/>
    <w:rsid w:val="7911223C"/>
    <w:rsid w:val="79E53808"/>
    <w:rsid w:val="7F6F4F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5"/>
    <w:qFormat/>
    <w:uiPriority w:val="0"/>
    <w:pPr>
      <w:keepNext/>
      <w:keepLines/>
      <w:numPr>
        <w:ilvl w:val="0"/>
        <w:numId w:val="1"/>
      </w:numPr>
      <w:spacing w:before="120" w:after="120"/>
      <w:jc w:val="center"/>
      <w:outlineLvl w:val="0"/>
    </w:pPr>
    <w:rPr>
      <w:b/>
      <w:kern w:val="44"/>
      <w:sz w:val="44"/>
    </w:rPr>
  </w:style>
  <w:style w:type="paragraph" w:styleId="3">
    <w:name w:val="heading 2"/>
    <w:basedOn w:val="1"/>
    <w:next w:val="1"/>
    <w:link w:val="27"/>
    <w:qFormat/>
    <w:uiPriority w:val="0"/>
    <w:pPr>
      <w:keepNext/>
      <w:keepLines/>
      <w:numPr>
        <w:ilvl w:val="1"/>
        <w:numId w:val="2"/>
      </w:numPr>
      <w:adjustRightInd w:val="0"/>
      <w:spacing w:before="240" w:line="360" w:lineRule="auto"/>
      <w:jc w:val="center"/>
      <w:textAlignment w:val="baseline"/>
      <w:outlineLvl w:val="1"/>
    </w:pPr>
    <w:rPr>
      <w:rFonts w:ascii="Arial" w:hAnsi="Arial" w:eastAsia="黑体"/>
      <w:b/>
      <w:kern w:val="0"/>
      <w:sz w:val="30"/>
    </w:rPr>
  </w:style>
  <w:style w:type="paragraph" w:styleId="4">
    <w:name w:val="heading 4"/>
    <w:basedOn w:val="1"/>
    <w:next w:val="1"/>
    <w:qFormat/>
    <w:uiPriority w:val="0"/>
    <w:pPr>
      <w:keepNext/>
      <w:keepLines/>
      <w:numPr>
        <w:ilvl w:val="3"/>
        <w:numId w:val="3"/>
      </w:numPr>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kern w:val="0"/>
      <w:sz w:val="20"/>
    </w:rPr>
  </w:style>
  <w:style w:type="paragraph" w:styleId="6">
    <w:name w:val="annotation text"/>
    <w:basedOn w:val="1"/>
    <w:link w:val="36"/>
    <w:semiHidden/>
    <w:qFormat/>
    <w:uiPriority w:val="0"/>
    <w:pPr>
      <w:jc w:val="left"/>
    </w:pPr>
  </w:style>
  <w:style w:type="paragraph" w:styleId="7">
    <w:name w:val="Body Text"/>
    <w:basedOn w:val="1"/>
    <w:next w:val="8"/>
    <w:link w:val="31"/>
    <w:qFormat/>
    <w:uiPriority w:val="0"/>
    <w:pPr>
      <w:spacing w:after="120"/>
    </w:pPr>
  </w:style>
  <w:style w:type="paragraph" w:customStyle="1" w:styleId="8">
    <w:name w:val="_Style 2"/>
    <w:basedOn w:val="1"/>
    <w:next w:val="1"/>
    <w:qFormat/>
    <w:uiPriority w:val="34"/>
    <w:pPr>
      <w:ind w:firstLine="420" w:firstLineChars="200"/>
    </w:pPr>
  </w:style>
  <w:style w:type="paragraph" w:styleId="9">
    <w:name w:val="Body Text Indent"/>
    <w:basedOn w:val="1"/>
    <w:link w:val="40"/>
    <w:semiHidden/>
    <w:unhideWhenUsed/>
    <w:qFormat/>
    <w:uiPriority w:val="99"/>
    <w:pPr>
      <w:spacing w:after="120"/>
      <w:ind w:left="420" w:leftChars="200"/>
    </w:pPr>
  </w:style>
  <w:style w:type="paragraph" w:styleId="10">
    <w:name w:val="Plain Text"/>
    <w:basedOn w:val="1"/>
    <w:next w:val="4"/>
    <w:link w:val="32"/>
    <w:qFormat/>
    <w:uiPriority w:val="0"/>
    <w:rPr>
      <w:rFonts w:ascii="宋体" w:hAnsi="Courier New" w:cstheme="minorBidi"/>
      <w:szCs w:val="22"/>
    </w:rPr>
  </w:style>
  <w:style w:type="paragraph" w:styleId="11">
    <w:name w:val="Date"/>
    <w:basedOn w:val="1"/>
    <w:next w:val="1"/>
    <w:link w:val="39"/>
    <w:semiHidden/>
    <w:unhideWhenUsed/>
    <w:qFormat/>
    <w:uiPriority w:val="99"/>
    <w:pPr>
      <w:ind w:left="100" w:leftChars="2500"/>
    </w:pPr>
  </w:style>
  <w:style w:type="paragraph" w:styleId="12">
    <w:name w:val="Balloon Text"/>
    <w:basedOn w:val="1"/>
    <w:link w:val="37"/>
    <w:unhideWhenUsed/>
    <w:qFormat/>
    <w:uiPriority w:val="99"/>
    <w:rPr>
      <w:sz w:val="18"/>
      <w:szCs w:val="18"/>
    </w:rPr>
  </w:style>
  <w:style w:type="paragraph" w:styleId="13">
    <w:name w:val="footer"/>
    <w:basedOn w:val="1"/>
    <w:link w:val="30"/>
    <w:unhideWhenUsed/>
    <w:qFormat/>
    <w:uiPriority w:val="0"/>
    <w:pPr>
      <w:tabs>
        <w:tab w:val="center" w:pos="4153"/>
        <w:tab w:val="right" w:pos="8306"/>
      </w:tabs>
      <w:snapToGrid w:val="0"/>
      <w:jc w:val="left"/>
    </w:pPr>
    <w:rPr>
      <w:sz w:val="18"/>
      <w:szCs w:val="18"/>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textAlignment w:val="baseline"/>
    </w:pPr>
    <w:rPr>
      <w:rFonts w:ascii="Cambria" w:hAnsi="Cambria"/>
      <w:b/>
      <w:bCs/>
      <w:kern w:val="28"/>
      <w:sz w:val="32"/>
      <w:szCs w:val="32"/>
    </w:rPr>
  </w:style>
  <w:style w:type="paragraph" w:styleId="16">
    <w:name w:val="toc 2"/>
    <w:basedOn w:val="1"/>
    <w:next w:val="1"/>
    <w:semiHidden/>
    <w:qFormat/>
    <w:uiPriority w:val="0"/>
    <w:pPr>
      <w:spacing w:line="300" w:lineRule="auto"/>
      <w:ind w:left="420"/>
    </w:pPr>
    <w:rPr>
      <w:b/>
      <w:sz w:val="24"/>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6"/>
    <w:next w:val="6"/>
    <w:link w:val="38"/>
    <w:unhideWhenUsed/>
    <w:qFormat/>
    <w:uiPriority w:val="99"/>
    <w:rPr>
      <w:b/>
      <w:bCs/>
    </w:rPr>
  </w:style>
  <w:style w:type="paragraph" w:styleId="19">
    <w:name w:val="Body Text First Indent 2"/>
    <w:basedOn w:val="9"/>
    <w:link w:val="41"/>
    <w:unhideWhenUsed/>
    <w:qFormat/>
    <w:uiPriority w:val="99"/>
    <w:pPr>
      <w:ind w:firstLine="420" w:firstLineChars="200"/>
    </w:p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rPr>
  </w:style>
  <w:style w:type="character" w:styleId="24">
    <w:name w:val="annotation reference"/>
    <w:semiHidden/>
    <w:qFormat/>
    <w:uiPriority w:val="0"/>
    <w:rPr>
      <w:sz w:val="21"/>
      <w:szCs w:val="21"/>
    </w:rPr>
  </w:style>
  <w:style w:type="character" w:customStyle="1" w:styleId="25">
    <w:name w:val="标题 1 字符"/>
    <w:basedOn w:val="21"/>
    <w:link w:val="2"/>
    <w:qFormat/>
    <w:uiPriority w:val="0"/>
    <w:rPr>
      <w:rFonts w:ascii="Times New Roman" w:hAnsi="Times New Roman" w:eastAsia="宋体" w:cs="Times New Roman"/>
      <w:b/>
      <w:kern w:val="44"/>
      <w:sz w:val="44"/>
      <w:szCs w:val="20"/>
    </w:rPr>
  </w:style>
  <w:style w:type="character" w:customStyle="1" w:styleId="26">
    <w:name w:val="标题 2 字符"/>
    <w:basedOn w:val="21"/>
    <w:semiHidden/>
    <w:qFormat/>
    <w:uiPriority w:val="9"/>
    <w:rPr>
      <w:rFonts w:asciiTheme="majorHAnsi" w:hAnsiTheme="majorHAnsi" w:eastAsiaTheme="majorEastAsia" w:cstheme="majorBidi"/>
      <w:b/>
      <w:bCs/>
      <w:sz w:val="32"/>
      <w:szCs w:val="32"/>
    </w:rPr>
  </w:style>
  <w:style w:type="character" w:customStyle="1" w:styleId="27">
    <w:name w:val="标题 2 字符1"/>
    <w:link w:val="3"/>
    <w:qFormat/>
    <w:uiPriority w:val="0"/>
    <w:rPr>
      <w:rFonts w:ascii="Arial" w:hAnsi="Arial" w:eastAsia="黑体" w:cs="Times New Roman"/>
      <w:b/>
      <w:kern w:val="0"/>
      <w:sz w:val="30"/>
      <w:szCs w:val="20"/>
    </w:rPr>
  </w:style>
  <w:style w:type="paragraph" w:customStyle="1" w:styleId="28">
    <w:name w:val="表格文字"/>
    <w:basedOn w:val="1"/>
    <w:qFormat/>
    <w:uiPriority w:val="99"/>
    <w:pPr>
      <w:spacing w:before="25" w:after="25"/>
    </w:pPr>
    <w:rPr>
      <w:bCs/>
      <w:spacing w:val="10"/>
      <w:kern w:val="0"/>
    </w:rPr>
  </w:style>
  <w:style w:type="character" w:customStyle="1" w:styleId="29">
    <w:name w:val="页眉 字符"/>
    <w:basedOn w:val="21"/>
    <w:link w:val="14"/>
    <w:qFormat/>
    <w:uiPriority w:val="99"/>
    <w:rPr>
      <w:sz w:val="18"/>
      <w:szCs w:val="18"/>
    </w:rPr>
  </w:style>
  <w:style w:type="character" w:customStyle="1" w:styleId="30">
    <w:name w:val="页脚 字符"/>
    <w:basedOn w:val="21"/>
    <w:link w:val="13"/>
    <w:qFormat/>
    <w:uiPriority w:val="99"/>
    <w:rPr>
      <w:sz w:val="18"/>
      <w:szCs w:val="18"/>
    </w:rPr>
  </w:style>
  <w:style w:type="character" w:customStyle="1" w:styleId="31">
    <w:name w:val="正文文本 字符"/>
    <w:basedOn w:val="21"/>
    <w:link w:val="7"/>
    <w:qFormat/>
    <w:uiPriority w:val="0"/>
    <w:rPr>
      <w:rFonts w:ascii="Times New Roman" w:hAnsi="Times New Roman" w:eastAsia="宋体" w:cs="Times New Roman"/>
      <w:szCs w:val="20"/>
    </w:rPr>
  </w:style>
  <w:style w:type="character" w:customStyle="1" w:styleId="32">
    <w:name w:val="纯文本 字符1"/>
    <w:link w:val="10"/>
    <w:qFormat/>
    <w:uiPriority w:val="0"/>
    <w:rPr>
      <w:rFonts w:ascii="宋体" w:hAnsi="Courier New" w:eastAsia="宋体"/>
    </w:rPr>
  </w:style>
  <w:style w:type="character" w:customStyle="1" w:styleId="33">
    <w:name w:val="纯文本 字符"/>
    <w:basedOn w:val="21"/>
    <w:semiHidden/>
    <w:qFormat/>
    <w:uiPriority w:val="99"/>
    <w:rPr>
      <w:rFonts w:hAnsi="Courier New" w:cs="Courier New" w:asciiTheme="minorEastAsia"/>
      <w:szCs w:val="20"/>
    </w:rPr>
  </w:style>
  <w:style w:type="character" w:customStyle="1" w:styleId="34">
    <w:name w:val="页脚 Char"/>
    <w:qFormat/>
    <w:uiPriority w:val="0"/>
    <w:rPr>
      <w:rFonts w:eastAsia="宋体"/>
      <w:kern w:val="2"/>
      <w:sz w:val="18"/>
      <w:lang w:val="en-US" w:eastAsia="zh-CN" w:bidi="ar-SA"/>
    </w:rPr>
  </w:style>
  <w:style w:type="paragraph" w:customStyle="1" w:styleId="35">
    <w:name w:val="样式1"/>
    <w:basedOn w:val="1"/>
    <w:qFormat/>
    <w:uiPriority w:val="0"/>
    <w:pPr>
      <w:spacing w:before="120" w:after="120" w:line="300" w:lineRule="auto"/>
    </w:pPr>
    <w:rPr>
      <w:rFonts w:ascii="宋体" w:hAnsi="宋体"/>
      <w:b/>
      <w:sz w:val="24"/>
    </w:rPr>
  </w:style>
  <w:style w:type="character" w:customStyle="1" w:styleId="36">
    <w:name w:val="批注文字 字符"/>
    <w:basedOn w:val="21"/>
    <w:link w:val="6"/>
    <w:semiHidden/>
    <w:qFormat/>
    <w:uiPriority w:val="0"/>
    <w:rPr>
      <w:rFonts w:ascii="Times New Roman" w:hAnsi="Times New Roman" w:eastAsia="宋体" w:cs="Times New Roman"/>
      <w:szCs w:val="20"/>
    </w:rPr>
  </w:style>
  <w:style w:type="character" w:customStyle="1" w:styleId="37">
    <w:name w:val="批注框文本 字符"/>
    <w:basedOn w:val="21"/>
    <w:link w:val="12"/>
    <w:semiHidden/>
    <w:qFormat/>
    <w:uiPriority w:val="99"/>
    <w:rPr>
      <w:rFonts w:ascii="Times New Roman" w:hAnsi="Times New Roman" w:eastAsia="宋体" w:cs="Times New Roman"/>
      <w:sz w:val="18"/>
      <w:szCs w:val="18"/>
    </w:rPr>
  </w:style>
  <w:style w:type="character" w:customStyle="1" w:styleId="38">
    <w:name w:val="批注主题 字符"/>
    <w:basedOn w:val="36"/>
    <w:link w:val="18"/>
    <w:semiHidden/>
    <w:qFormat/>
    <w:uiPriority w:val="99"/>
    <w:rPr>
      <w:rFonts w:ascii="Times New Roman" w:hAnsi="Times New Roman" w:eastAsia="宋体" w:cs="Times New Roman"/>
      <w:b/>
      <w:bCs/>
      <w:szCs w:val="20"/>
    </w:rPr>
  </w:style>
  <w:style w:type="character" w:customStyle="1" w:styleId="39">
    <w:name w:val="日期 字符"/>
    <w:basedOn w:val="21"/>
    <w:link w:val="11"/>
    <w:semiHidden/>
    <w:qFormat/>
    <w:uiPriority w:val="99"/>
    <w:rPr>
      <w:rFonts w:ascii="Times New Roman" w:hAnsi="Times New Roman" w:eastAsia="宋体" w:cs="Times New Roman"/>
      <w:kern w:val="2"/>
      <w:sz w:val="21"/>
    </w:rPr>
  </w:style>
  <w:style w:type="character" w:customStyle="1" w:styleId="40">
    <w:name w:val="正文文本缩进 字符"/>
    <w:basedOn w:val="21"/>
    <w:link w:val="9"/>
    <w:semiHidden/>
    <w:qFormat/>
    <w:uiPriority w:val="99"/>
    <w:rPr>
      <w:rFonts w:ascii="Times New Roman" w:hAnsi="Times New Roman" w:eastAsia="宋体" w:cs="Times New Roman"/>
      <w:kern w:val="2"/>
      <w:sz w:val="21"/>
    </w:rPr>
  </w:style>
  <w:style w:type="character" w:customStyle="1" w:styleId="41">
    <w:name w:val="正文文本首行缩进 2 字符"/>
    <w:basedOn w:val="40"/>
    <w:link w:val="19"/>
    <w:qFormat/>
    <w:uiPriority w:val="99"/>
    <w:rPr>
      <w:rFonts w:ascii="Times New Roman" w:hAnsi="Times New Roman" w:eastAsia="宋体" w:cs="Times New Roman"/>
      <w:kern w:val="2"/>
      <w:sz w:val="21"/>
    </w:rPr>
  </w:style>
  <w:style w:type="paragraph" w:styleId="42">
    <w:name w:val="List Paragraph"/>
    <w:basedOn w:val="1"/>
    <w:qFormat/>
    <w:uiPriority w:val="34"/>
    <w:pPr>
      <w:spacing w:line="360" w:lineRule="auto"/>
      <w:ind w:firstLine="420" w:firstLineChars="200"/>
    </w:pPr>
    <w:rPr>
      <w:sz w:val="24"/>
    </w:rPr>
  </w:style>
  <w:style w:type="paragraph" w:customStyle="1" w:styleId="43">
    <w:name w:val="文档正文"/>
    <w:basedOn w:val="1"/>
    <w:qFormat/>
    <w:uiPriority w:val="0"/>
    <w:pPr>
      <w:ind w:firstLine="480"/>
    </w:pPr>
    <w:rPr>
      <w:sz w:val="24"/>
      <w:szCs w:val="24"/>
    </w:rPr>
  </w:style>
  <w:style w:type="paragraph" w:customStyle="1" w:styleId="44">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814</Words>
  <Characters>836</Characters>
  <Lines>5</Lines>
  <Paragraphs>1</Paragraphs>
  <TotalTime>2</TotalTime>
  <ScaleCrop>false</ScaleCrop>
  <LinksUpToDate>false</LinksUpToDate>
  <CharactersWithSpaces>868</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2024-09-11T16:18:00Z</dcterms:created>
  <dc:creator>中奖帝</dc:creator>
  <cp:lastModifiedBy>ㅤㅤㅤㅤㅤㅤㅤㅤㅤ</cp:lastModifiedBy>
  <cp:lastPrinted>2021-01-07T14:46:00Z</cp:lastPrinted>
  <dcterms:modified xsi:type="dcterms:W3CDTF">2024-09-23T09:07:11Z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99042278F3F94DDEB40DE4F4DB7FE4DD_12</vt:lpwstr>
  </property>
</Properties>
</file>