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szCs w:val="36"/>
          <w:lang w:val="en-US" w:eastAsia="zh-CN"/>
        </w:rPr>
      </w:pPr>
      <w:r>
        <w:rPr>
          <w:rFonts w:hint="eastAsia" w:ascii="方正小标宋简体" w:hAnsi="方正小标宋简体" w:eastAsia="方正小标宋简体" w:cs="方正小标宋简体"/>
          <w:color w:val="auto"/>
          <w:sz w:val="36"/>
          <w:szCs w:val="36"/>
        </w:rPr>
        <w:t>桂平市人民医院购置1辆监护型救护车</w:t>
      </w:r>
      <w:r>
        <w:rPr>
          <w:rFonts w:hint="eastAsia" w:ascii="方正小标宋简体" w:hAnsi="方正小标宋简体" w:eastAsia="方正小标宋简体" w:cs="方正小标宋简体"/>
          <w:color w:val="auto"/>
          <w:sz w:val="36"/>
          <w:szCs w:val="36"/>
          <w:lang w:val="en-US" w:eastAsia="zh-CN"/>
        </w:rPr>
        <w:t>磋商</w:t>
      </w:r>
      <w:r>
        <w:rPr>
          <w:rFonts w:hint="eastAsia" w:ascii="方正小标宋简体" w:hAnsi="方正小标宋简体" w:eastAsia="方正小标宋简体" w:cs="方正小标宋简体"/>
          <w:b w:val="0"/>
          <w:bCs/>
          <w:color w:val="auto"/>
          <w:sz w:val="36"/>
          <w:szCs w:val="36"/>
        </w:rPr>
        <w:t>综合评分</w:t>
      </w:r>
      <w:r>
        <w:rPr>
          <w:rFonts w:hint="eastAsia" w:ascii="方正小标宋简体" w:hAnsi="方正小标宋简体" w:eastAsia="方正小标宋简体" w:cs="方正小标宋简体"/>
          <w:b w:val="0"/>
          <w:bCs/>
          <w:color w:val="auto"/>
          <w:sz w:val="36"/>
          <w:szCs w:val="36"/>
          <w:lang w:val="en-US" w:eastAsia="zh-CN"/>
        </w:rPr>
        <w:t>标准</w:t>
      </w:r>
    </w:p>
    <w:p>
      <w:pPr>
        <w:pStyle w:val="2"/>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响应单位名称：</w:t>
      </w:r>
      <w:r>
        <w:rPr>
          <w:rFonts w:hint="eastAsia" w:ascii="黑体" w:hAnsi="黑体" w:eastAsia="黑体" w:cs="黑体"/>
          <w:color w:val="auto"/>
          <w:lang w:val="en-US" w:eastAsia="zh-CN"/>
        </w:rPr>
        <w:t xml:space="preserve">  </w:t>
      </w:r>
      <w:r>
        <w:rPr>
          <w:rFonts w:hint="eastAsia"/>
          <w:color w:val="auto"/>
          <w:lang w:val="en-US" w:eastAsia="zh-CN"/>
        </w:rPr>
        <w:t xml:space="preserve">                                                  </w:t>
      </w:r>
      <w:r>
        <w:rPr>
          <w:rFonts w:hint="eastAsia" w:ascii="黑体" w:hAnsi="黑体" w:eastAsia="黑体" w:cs="黑体"/>
          <w:color w:val="auto"/>
          <w:sz w:val="28"/>
          <w:szCs w:val="28"/>
          <w:lang w:val="en-US" w:eastAsia="zh-CN"/>
        </w:rPr>
        <w:t xml:space="preserve">   评委签字：                   日期：</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496"/>
        <w:gridCol w:w="1202"/>
        <w:gridCol w:w="2795"/>
        <w:gridCol w:w="847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3" w:type="pct"/>
            <w:gridSpan w:val="2"/>
            <w:noWrap w:val="0"/>
            <w:vAlign w:val="center"/>
          </w:tcPr>
          <w:p>
            <w:pPr>
              <w:adjustRightInd w:val="0"/>
              <w:spacing w:line="410" w:lineRule="exact"/>
              <w:jc w:val="center"/>
              <w:textAlignment w:val="baseline"/>
              <w:rPr>
                <w:rFonts w:hint="eastAsia" w:ascii="宋体" w:hAnsi="宋体" w:cs="宋体"/>
                <w:b/>
                <w:color w:val="000000"/>
                <w:szCs w:val="21"/>
              </w:rPr>
            </w:pPr>
            <w:r>
              <w:rPr>
                <w:rFonts w:hint="eastAsia" w:ascii="宋体" w:hAnsi="宋体" w:cs="宋体"/>
                <w:b/>
                <w:color w:val="000000"/>
                <w:szCs w:val="21"/>
              </w:rPr>
              <w:t>序号</w:t>
            </w:r>
          </w:p>
        </w:tc>
        <w:tc>
          <w:tcPr>
            <w:tcW w:w="385" w:type="pct"/>
            <w:noWrap w:val="0"/>
            <w:vAlign w:val="center"/>
          </w:tcPr>
          <w:p>
            <w:pPr>
              <w:adjustRightInd w:val="0"/>
              <w:spacing w:line="410" w:lineRule="exact"/>
              <w:jc w:val="center"/>
              <w:textAlignment w:val="baseline"/>
              <w:rPr>
                <w:rFonts w:hint="eastAsia" w:ascii="宋体" w:hAnsi="宋体" w:cs="宋体"/>
                <w:color w:val="000000"/>
                <w:szCs w:val="21"/>
              </w:rPr>
            </w:pPr>
            <w:r>
              <w:rPr>
                <w:rFonts w:hint="eastAsia" w:ascii="宋体" w:hAnsi="宋体" w:cs="宋体"/>
                <w:b/>
                <w:color w:val="000000"/>
                <w:szCs w:val="21"/>
              </w:rPr>
              <w:t>评审因素</w:t>
            </w:r>
          </w:p>
        </w:tc>
        <w:tc>
          <w:tcPr>
            <w:tcW w:w="3608" w:type="pct"/>
            <w:gridSpan w:val="2"/>
            <w:noWrap w:val="0"/>
            <w:vAlign w:val="center"/>
          </w:tcPr>
          <w:p>
            <w:pPr>
              <w:adjustRightInd w:val="0"/>
              <w:spacing w:line="410" w:lineRule="exact"/>
              <w:jc w:val="center"/>
              <w:textAlignment w:val="baseline"/>
              <w:rPr>
                <w:rFonts w:hint="eastAsia" w:ascii="宋体" w:hAnsi="宋体" w:cs="宋体"/>
                <w:b/>
                <w:color w:val="000000"/>
                <w:szCs w:val="21"/>
              </w:rPr>
            </w:pPr>
            <w:r>
              <w:rPr>
                <w:rFonts w:hint="eastAsia" w:ascii="宋体" w:hAnsi="宋体" w:cs="宋体"/>
                <w:b/>
                <w:color w:val="000000"/>
                <w:szCs w:val="21"/>
              </w:rPr>
              <w:t>评标标准</w:t>
            </w:r>
          </w:p>
        </w:tc>
        <w:tc>
          <w:tcPr>
            <w:tcW w:w="352" w:type="pct"/>
            <w:noWrap w:val="0"/>
            <w:vAlign w:val="center"/>
          </w:tcPr>
          <w:p>
            <w:pPr>
              <w:adjustRightInd w:val="0"/>
              <w:spacing w:line="410" w:lineRule="exact"/>
              <w:jc w:val="center"/>
              <w:textAlignment w:val="baseline"/>
              <w:rPr>
                <w:rFonts w:hint="default" w:ascii="宋体" w:hAnsi="宋体" w:cs="宋体"/>
                <w:b/>
                <w:color w:val="000000"/>
                <w:szCs w:val="21"/>
                <w:lang w:val="en-US" w:eastAsia="zh-CN"/>
              </w:rPr>
            </w:pPr>
            <w:r>
              <w:rPr>
                <w:rFonts w:hint="eastAsia" w:ascii="宋体" w:hAnsi="宋体" w:cs="宋体"/>
                <w:b/>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74" w:type="pct"/>
            <w:noWrap w:val="0"/>
            <w:vAlign w:val="center"/>
          </w:tcPr>
          <w:p>
            <w:pPr>
              <w:adjustRightInd w:val="0"/>
              <w:spacing w:line="360" w:lineRule="auto"/>
              <w:jc w:val="center"/>
              <w:textAlignment w:val="baseline"/>
              <w:rPr>
                <w:rFonts w:hint="eastAsia" w:ascii="宋体" w:hAnsi="宋体" w:cs="宋体"/>
                <w:b/>
                <w:color w:val="000000"/>
                <w:szCs w:val="21"/>
              </w:rPr>
            </w:pPr>
            <w:r>
              <w:rPr>
                <w:rFonts w:hint="eastAsia" w:ascii="宋体" w:hAnsi="宋体" w:cs="宋体"/>
                <w:b/>
                <w:color w:val="000000"/>
                <w:szCs w:val="21"/>
              </w:rPr>
              <w:t>1</w:t>
            </w:r>
          </w:p>
        </w:tc>
        <w:tc>
          <w:tcPr>
            <w:tcW w:w="479" w:type="pct"/>
            <w:noWrap w:val="0"/>
            <w:vAlign w:val="center"/>
          </w:tcPr>
          <w:p>
            <w:pPr>
              <w:adjustRightInd w:val="0"/>
              <w:spacing w:line="360" w:lineRule="auto"/>
              <w:jc w:val="center"/>
              <w:textAlignment w:val="baseline"/>
              <w:rPr>
                <w:rFonts w:hint="eastAsia" w:ascii="宋体" w:hAnsi="宋体" w:cs="宋体"/>
                <w:b/>
                <w:color w:val="000000"/>
                <w:szCs w:val="21"/>
              </w:rPr>
            </w:pPr>
            <w:r>
              <w:rPr>
                <w:rFonts w:hint="eastAsia" w:ascii="宋体" w:hAnsi="宋体" w:cs="宋体"/>
                <w:b/>
                <w:color w:val="000000"/>
                <w:szCs w:val="21"/>
              </w:rPr>
              <w:t>价格分</w:t>
            </w:r>
          </w:p>
          <w:p>
            <w:pPr>
              <w:adjustRightInd w:val="0"/>
              <w:spacing w:line="360" w:lineRule="auto"/>
              <w:jc w:val="center"/>
              <w:textAlignment w:val="baseline"/>
              <w:rPr>
                <w:rFonts w:hint="eastAsia" w:ascii="宋体" w:hAnsi="宋体" w:cs="宋体"/>
                <w:color w:val="000000"/>
                <w:szCs w:val="21"/>
              </w:rPr>
            </w:pPr>
            <w:r>
              <w:rPr>
                <w:rFonts w:hint="eastAsia" w:ascii="宋体" w:hAnsi="宋体" w:cs="宋体"/>
                <w:color w:val="000000"/>
                <w:szCs w:val="21"/>
              </w:rPr>
              <w:t>（满分</w:t>
            </w:r>
            <w:r>
              <w:rPr>
                <w:rFonts w:hint="eastAsia" w:ascii="宋体" w:hAnsi="宋体" w:cs="宋体"/>
                <w:color w:val="000000"/>
                <w:szCs w:val="21"/>
                <w:u w:val="single"/>
              </w:rPr>
              <w:t>30</w:t>
            </w:r>
            <w:r>
              <w:rPr>
                <w:rFonts w:hint="eastAsia" w:ascii="宋体" w:hAnsi="宋体" w:cs="宋体"/>
                <w:color w:val="000000"/>
                <w:szCs w:val="21"/>
              </w:rPr>
              <w:t>分）</w:t>
            </w:r>
          </w:p>
          <w:p>
            <w:pPr>
              <w:adjustRightInd w:val="0"/>
              <w:spacing w:line="360" w:lineRule="auto"/>
              <w:jc w:val="left"/>
              <w:textAlignment w:val="baseline"/>
              <w:rPr>
                <w:rFonts w:hint="eastAsia" w:ascii="宋体" w:hAnsi="宋体" w:cs="宋体"/>
                <w:color w:val="000000"/>
                <w:szCs w:val="21"/>
              </w:rPr>
            </w:pPr>
          </w:p>
        </w:tc>
        <w:tc>
          <w:tcPr>
            <w:tcW w:w="385" w:type="pct"/>
            <w:noWrap w:val="0"/>
            <w:vAlign w:val="center"/>
          </w:tcPr>
          <w:p>
            <w:pPr>
              <w:adjustRightInd w:val="0"/>
              <w:spacing w:line="360" w:lineRule="auto"/>
              <w:jc w:val="both"/>
              <w:textAlignment w:val="baseline"/>
              <w:rPr>
                <w:rFonts w:hint="eastAsia" w:ascii="宋体" w:hAnsi="宋体" w:cs="宋体"/>
                <w:b/>
                <w:color w:val="000000"/>
                <w:szCs w:val="21"/>
              </w:rPr>
            </w:pPr>
            <w:r>
              <w:rPr>
                <w:rFonts w:hint="eastAsia" w:ascii="宋体" w:hAnsi="宋体" w:cs="宋体"/>
                <w:b/>
                <w:color w:val="000000"/>
                <w:szCs w:val="21"/>
              </w:rPr>
              <w:t>投标报价</w:t>
            </w:r>
          </w:p>
        </w:tc>
        <w:tc>
          <w:tcPr>
            <w:tcW w:w="3608" w:type="pct"/>
            <w:gridSpan w:val="2"/>
            <w:noWrap w:val="0"/>
            <w:vAlign w:val="center"/>
          </w:tcPr>
          <w:p>
            <w:pPr>
              <w:snapToGrid w:val="0"/>
              <w:spacing w:line="360" w:lineRule="exact"/>
              <w:jc w:val="left"/>
              <w:rPr>
                <w:rFonts w:ascii="宋体" w:hAnsi="宋体" w:eastAsia="宋体" w:cs="Times New Roman"/>
                <w:bCs/>
                <w:color w:val="000000"/>
                <w:kern w:val="2"/>
                <w:sz w:val="21"/>
                <w:szCs w:val="21"/>
                <w:highlight w:val="none"/>
                <w:lang w:eastAsia="zh-CN"/>
              </w:rPr>
            </w:pPr>
            <w:r>
              <w:rPr>
                <w:rFonts w:ascii="宋体" w:hAnsi="宋体" w:eastAsia="宋体" w:cs="Times New Roman"/>
                <w:bCs/>
                <w:color w:val="000000"/>
                <w:kern w:val="2"/>
                <w:sz w:val="21"/>
                <w:szCs w:val="21"/>
                <w:highlight w:val="none"/>
                <w:lang w:eastAsia="zh-CN"/>
              </w:rPr>
              <w:t>（</w:t>
            </w:r>
            <w:r>
              <w:rPr>
                <w:rFonts w:hint="eastAsia" w:ascii="宋体" w:hAnsi="宋体" w:cs="Times New Roman"/>
                <w:bCs/>
                <w:color w:val="000000"/>
                <w:kern w:val="2"/>
                <w:sz w:val="21"/>
                <w:szCs w:val="21"/>
                <w:highlight w:val="none"/>
                <w:lang w:val="en-US" w:eastAsia="zh-CN"/>
              </w:rPr>
              <w:t>1</w:t>
            </w:r>
            <w:r>
              <w:rPr>
                <w:rFonts w:ascii="宋体" w:hAnsi="宋体" w:eastAsia="宋体" w:cs="Times New Roman"/>
                <w:bCs/>
                <w:color w:val="000000"/>
                <w:kern w:val="2"/>
                <w:sz w:val="21"/>
                <w:szCs w:val="21"/>
                <w:highlight w:val="none"/>
                <w:lang w:eastAsia="zh-CN"/>
              </w:rPr>
              <w:t>）满足招标文件要求且评标报价最低的评标报价为评标基准价，其价格分为满分。</w:t>
            </w:r>
          </w:p>
          <w:p>
            <w:pPr>
              <w:pStyle w:val="6"/>
              <w:tabs>
                <w:tab w:val="left" w:pos="8820"/>
              </w:tabs>
              <w:spacing w:line="380" w:lineRule="exact"/>
              <w:jc w:val="left"/>
              <w:outlineLvl w:val="0"/>
              <w:rPr>
                <w:rFonts w:hint="eastAsia" w:hAnsi="宋体" w:cs="宋体"/>
                <w:color w:val="000000"/>
                <w:sz w:val="21"/>
                <w:lang w:val="en-US" w:eastAsia="zh-CN"/>
              </w:rPr>
            </w:pPr>
            <w:r>
              <w:rPr>
                <w:rFonts w:hAnsi="宋体"/>
                <w:bCs/>
                <w:color w:val="000000"/>
                <w:szCs w:val="21"/>
                <w:highlight w:val="none"/>
                <w:lang w:eastAsia="zh-CN"/>
              </w:rPr>
              <w:t>（</w:t>
            </w:r>
            <w:r>
              <w:rPr>
                <w:rFonts w:hint="eastAsia" w:hAnsi="宋体"/>
                <w:bCs/>
                <w:color w:val="000000"/>
                <w:szCs w:val="21"/>
                <w:highlight w:val="none"/>
                <w:lang w:val="en-US" w:eastAsia="zh-CN"/>
              </w:rPr>
              <w:t>2</w:t>
            </w:r>
            <w:r>
              <w:rPr>
                <w:rFonts w:hAnsi="宋体"/>
                <w:bCs/>
                <w:color w:val="000000"/>
                <w:szCs w:val="21"/>
                <w:highlight w:val="none"/>
                <w:lang w:eastAsia="zh-CN"/>
              </w:rPr>
              <w:t>）价格分计算公式：价格分=(评标基准价／评标报价)×30分</w:t>
            </w:r>
          </w:p>
        </w:tc>
        <w:tc>
          <w:tcPr>
            <w:tcW w:w="352" w:type="pct"/>
            <w:noWrap w:val="0"/>
            <w:vAlign w:val="center"/>
          </w:tcPr>
          <w:p>
            <w:pPr>
              <w:pStyle w:val="6"/>
              <w:tabs>
                <w:tab w:val="left" w:pos="8820"/>
              </w:tabs>
              <w:spacing w:line="380" w:lineRule="exact"/>
              <w:outlineLvl w:val="0"/>
              <w:rPr>
                <w:rFonts w:hAnsi="宋体"/>
                <w:bCs/>
                <w:color w:val="00000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74" w:type="pct"/>
            <w:vMerge w:val="restart"/>
            <w:noWrap w:val="0"/>
            <w:vAlign w:val="center"/>
          </w:tcPr>
          <w:p>
            <w:pPr>
              <w:adjustRightInd w:val="0"/>
              <w:spacing w:line="360" w:lineRule="auto"/>
              <w:jc w:val="center"/>
              <w:textAlignment w:val="baseline"/>
              <w:rPr>
                <w:rFonts w:hint="eastAsia" w:ascii="宋体" w:hAnsi="宋体" w:cs="宋体"/>
                <w:b/>
                <w:color w:val="000000"/>
                <w:szCs w:val="21"/>
              </w:rPr>
            </w:pPr>
            <w:r>
              <w:rPr>
                <w:rFonts w:hint="eastAsia" w:ascii="宋体" w:hAnsi="宋体" w:cs="宋体"/>
                <w:b/>
                <w:color w:val="000000"/>
                <w:szCs w:val="21"/>
              </w:rPr>
              <w:t>2</w:t>
            </w:r>
          </w:p>
        </w:tc>
        <w:tc>
          <w:tcPr>
            <w:tcW w:w="479" w:type="pct"/>
            <w:vMerge w:val="restart"/>
            <w:noWrap w:val="0"/>
            <w:vAlign w:val="center"/>
          </w:tcPr>
          <w:p>
            <w:pPr>
              <w:adjustRightInd w:val="0"/>
              <w:spacing w:line="360" w:lineRule="auto"/>
              <w:ind w:left="-105" w:leftChars="-50" w:right="-105" w:rightChars="-50"/>
              <w:jc w:val="center"/>
              <w:textAlignment w:val="baseline"/>
              <w:rPr>
                <w:rFonts w:hint="eastAsia" w:ascii="宋体" w:hAnsi="宋体" w:cs="宋体"/>
                <w:b/>
                <w:bCs/>
                <w:color w:val="000000"/>
                <w:szCs w:val="21"/>
              </w:rPr>
            </w:pPr>
            <w:r>
              <w:rPr>
                <w:rFonts w:hint="eastAsia" w:ascii="宋体" w:hAnsi="宋体" w:cs="宋体"/>
                <w:b/>
                <w:bCs/>
                <w:color w:val="000000"/>
                <w:szCs w:val="21"/>
              </w:rPr>
              <w:t>技术分</w:t>
            </w:r>
          </w:p>
          <w:p>
            <w:pPr>
              <w:adjustRightInd w:val="0"/>
              <w:spacing w:line="360" w:lineRule="auto"/>
              <w:ind w:left="-105" w:leftChars="-50" w:right="-105" w:rightChars="-50"/>
              <w:jc w:val="center"/>
              <w:textAlignment w:val="baseline"/>
              <w:rPr>
                <w:rFonts w:hint="eastAsia" w:ascii="宋体" w:hAnsi="宋体" w:cs="宋体"/>
                <w:color w:val="000000"/>
                <w:spacing w:val="-18"/>
                <w:szCs w:val="21"/>
              </w:rPr>
            </w:pPr>
            <w:r>
              <w:rPr>
                <w:rFonts w:hint="eastAsia" w:ascii="宋体" w:hAnsi="宋体" w:cs="宋体"/>
                <w:bCs/>
                <w:color w:val="000000"/>
                <w:szCs w:val="21"/>
              </w:rPr>
              <w:t>（</w:t>
            </w:r>
            <w:r>
              <w:rPr>
                <w:rFonts w:hint="eastAsia" w:ascii="宋体" w:hAnsi="宋体" w:cs="宋体"/>
                <w:color w:val="000000"/>
                <w:szCs w:val="21"/>
              </w:rPr>
              <w:t>满分</w:t>
            </w:r>
            <w:r>
              <w:rPr>
                <w:rFonts w:hint="eastAsia" w:ascii="宋体" w:hAnsi="宋体" w:cs="宋体"/>
                <w:color w:val="000000"/>
                <w:szCs w:val="21"/>
                <w:u w:val="single"/>
              </w:rPr>
              <w:t xml:space="preserve"> 46</w:t>
            </w:r>
            <w:r>
              <w:rPr>
                <w:rFonts w:hint="eastAsia" w:ascii="宋体" w:hAnsi="宋体" w:cs="宋体"/>
                <w:bCs/>
                <w:color w:val="000000"/>
                <w:szCs w:val="21"/>
              </w:rPr>
              <w:t>分）</w:t>
            </w:r>
          </w:p>
        </w:tc>
        <w:tc>
          <w:tcPr>
            <w:tcW w:w="385" w:type="pct"/>
            <w:noWrap w:val="0"/>
            <w:vAlign w:val="center"/>
          </w:tcPr>
          <w:p>
            <w:pPr>
              <w:snapToGrid w:val="0"/>
              <w:spacing w:line="360" w:lineRule="auto"/>
              <w:jc w:val="center"/>
              <w:rPr>
                <w:rFonts w:hint="eastAsia" w:ascii="宋体" w:hAnsi="宋体" w:cs="宋体"/>
                <w:color w:val="000000"/>
                <w:szCs w:val="21"/>
                <w:u w:val="single"/>
              </w:rPr>
            </w:pPr>
            <w:r>
              <w:rPr>
                <w:rFonts w:hint="eastAsia" w:ascii="宋体" w:hAnsi="宋体" w:eastAsia="宋体" w:cs="宋体"/>
                <w:b w:val="0"/>
                <w:bCs w:val="0"/>
                <w:i w:val="0"/>
                <w:iCs w:val="0"/>
                <w:caps w:val="0"/>
                <w:color w:val="auto"/>
                <w:spacing w:val="0"/>
                <w:sz w:val="21"/>
                <w:szCs w:val="21"/>
                <w:lang w:val="en-US" w:eastAsia="zh-CN"/>
              </w:rPr>
              <w:t>车辆详细参数配置要求</w:t>
            </w:r>
            <w:r>
              <w:rPr>
                <w:rFonts w:hint="eastAsia" w:ascii="宋体" w:hAnsi="宋体" w:cs="宋体"/>
                <w:color w:val="000000"/>
                <w:kern w:val="0"/>
                <w:szCs w:val="21"/>
              </w:rPr>
              <w:t>及配置分（</w:t>
            </w:r>
            <w:r>
              <w:rPr>
                <w:rFonts w:hint="eastAsia" w:ascii="宋体" w:hAnsi="宋体" w:cs="宋体"/>
                <w:color w:val="000000"/>
                <w:kern w:val="0"/>
                <w:szCs w:val="21"/>
                <w:lang w:val="en-US" w:eastAsia="zh-CN"/>
              </w:rPr>
              <w:t>33</w:t>
            </w:r>
            <w:r>
              <w:rPr>
                <w:rFonts w:hint="eastAsia" w:ascii="宋体" w:hAnsi="宋体" w:cs="宋体"/>
                <w:color w:val="000000"/>
                <w:kern w:val="0"/>
                <w:szCs w:val="21"/>
              </w:rPr>
              <w:t>分）</w:t>
            </w:r>
          </w:p>
        </w:tc>
        <w:tc>
          <w:tcPr>
            <w:tcW w:w="3608" w:type="pct"/>
            <w:gridSpan w:val="2"/>
            <w:noWrap w:val="0"/>
            <w:vAlign w:val="center"/>
          </w:tcPr>
          <w:p>
            <w:pPr>
              <w:snapToGrid w:val="0"/>
              <w:spacing w:line="400" w:lineRule="exact"/>
              <w:rPr>
                <w:rFonts w:hint="default" w:ascii="宋体" w:hAnsi="宋体" w:cs="宋体"/>
                <w:b/>
                <w:bCs w:val="0"/>
                <w:szCs w:val="21"/>
                <w:lang w:val="en-US" w:eastAsia="zh-CN"/>
              </w:rPr>
            </w:pPr>
            <w:r>
              <w:rPr>
                <w:rFonts w:hint="eastAsia" w:ascii="宋体" w:hAnsi="宋体" w:cs="宋体"/>
                <w:b/>
                <w:bCs w:val="0"/>
                <w:szCs w:val="21"/>
                <w:lang w:val="en-US" w:eastAsia="zh-CN"/>
              </w:rPr>
              <w:t>响应该配置全部要求的得满分，每负偏离1点减3分，正偏离加1分，最高得分33分，最低为0分。</w:t>
            </w:r>
          </w:p>
          <w:p>
            <w:pPr>
              <w:snapToGrid w:val="0"/>
              <w:spacing w:line="400" w:lineRule="exact"/>
              <w:ind w:firstLine="422" w:firstLineChars="200"/>
              <w:rPr>
                <w:rFonts w:hint="eastAsia" w:ascii="宋体" w:hAnsi="宋体" w:cs="宋体"/>
                <w:b/>
                <w:szCs w:val="21"/>
              </w:rPr>
            </w:pPr>
            <w:r>
              <w:rPr>
                <w:rFonts w:hint="eastAsia" w:ascii="宋体" w:hAnsi="宋体" w:cs="宋体"/>
                <w:b/>
                <w:szCs w:val="21"/>
              </w:rPr>
              <w:t>注：1.</w:t>
            </w:r>
            <w:r>
              <w:rPr>
                <w:rStyle w:val="9"/>
                <w:rFonts w:hint="eastAsia" w:ascii="宋体" w:hAnsi="宋体" w:cs="宋体"/>
                <w:b/>
                <w:bCs/>
              </w:rPr>
              <w:t>投标人</w:t>
            </w:r>
            <w:r>
              <w:rPr>
                <w:rFonts w:hint="eastAsia" w:ascii="宋体" w:hAnsi="宋体" w:cs="宋体"/>
                <w:b/>
                <w:szCs w:val="21"/>
              </w:rPr>
              <w:t>技术参数及功能有正偏离的，须在技术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p>
            <w:pPr>
              <w:widowControl/>
              <w:snapToGrid w:val="0"/>
              <w:spacing w:line="360" w:lineRule="auto"/>
              <w:jc w:val="left"/>
              <w:rPr>
                <w:rFonts w:hint="eastAsia" w:ascii="宋体" w:hAnsi="宋体" w:cs="宋体"/>
                <w:b/>
                <w:color w:val="000000"/>
                <w:szCs w:val="21"/>
              </w:rPr>
            </w:pPr>
            <w:r>
              <w:rPr>
                <w:rFonts w:hint="eastAsia" w:ascii="宋体" w:hAnsi="宋体" w:cs="宋体"/>
                <w:b/>
                <w:szCs w:val="21"/>
              </w:rPr>
              <w:t>2.如技术偏离表中的投标响应与佐证材料不一致的，以佐证材料为准。</w:t>
            </w:r>
          </w:p>
        </w:tc>
        <w:tc>
          <w:tcPr>
            <w:tcW w:w="352" w:type="pct"/>
            <w:noWrap w:val="0"/>
            <w:vAlign w:val="center"/>
          </w:tcPr>
          <w:p>
            <w:pPr>
              <w:widowControl/>
              <w:snapToGrid w:val="0"/>
              <w:spacing w:line="360" w:lineRule="auto"/>
              <w:jc w:val="lef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4" w:type="pct"/>
            <w:vMerge w:val="continue"/>
            <w:noWrap w:val="0"/>
            <w:vAlign w:val="center"/>
          </w:tcPr>
          <w:p>
            <w:pPr>
              <w:adjustRightInd w:val="0"/>
              <w:spacing w:line="360" w:lineRule="auto"/>
              <w:jc w:val="center"/>
              <w:textAlignment w:val="baseline"/>
              <w:rPr>
                <w:rFonts w:hint="eastAsia" w:ascii="宋体" w:hAnsi="宋体" w:cs="宋体"/>
                <w:b/>
                <w:color w:val="000000"/>
                <w:szCs w:val="21"/>
              </w:rPr>
            </w:pPr>
          </w:p>
        </w:tc>
        <w:tc>
          <w:tcPr>
            <w:tcW w:w="479" w:type="pct"/>
            <w:vMerge w:val="continue"/>
            <w:noWrap w:val="0"/>
            <w:vAlign w:val="center"/>
          </w:tcPr>
          <w:p>
            <w:pPr>
              <w:adjustRightInd w:val="0"/>
              <w:spacing w:line="360" w:lineRule="auto"/>
              <w:ind w:left="-105" w:leftChars="-50" w:right="-105" w:rightChars="-50"/>
              <w:jc w:val="center"/>
              <w:textAlignment w:val="baseline"/>
              <w:rPr>
                <w:rFonts w:hint="eastAsia" w:ascii="宋体" w:hAnsi="宋体" w:cs="宋体"/>
                <w:b/>
                <w:bCs/>
                <w:color w:val="000000"/>
                <w:szCs w:val="21"/>
              </w:rPr>
            </w:pPr>
          </w:p>
        </w:tc>
        <w:tc>
          <w:tcPr>
            <w:tcW w:w="385" w:type="pct"/>
            <w:noWrap w:val="0"/>
            <w:vAlign w:val="center"/>
          </w:tcPr>
          <w:p>
            <w:pPr>
              <w:snapToGri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项目实施</w:t>
            </w:r>
            <w:r>
              <w:rPr>
                <w:rFonts w:hint="eastAsia" w:ascii="宋体" w:hAnsi="宋体" w:cs="宋体"/>
                <w:color w:val="000000"/>
                <w:kern w:val="0"/>
                <w:szCs w:val="21"/>
              </w:rPr>
              <w:t>方案</w:t>
            </w:r>
            <w:r>
              <w:rPr>
                <w:rFonts w:hint="eastAsia" w:ascii="宋体" w:hAnsi="宋体" w:cs="宋体"/>
                <w:color w:val="000000"/>
                <w:kern w:val="0"/>
                <w:szCs w:val="21"/>
                <w:lang w:val="en-US" w:eastAsia="zh-CN"/>
              </w:rPr>
              <w:t>分</w:t>
            </w:r>
          </w:p>
          <w:p>
            <w:pPr>
              <w:snapToGrid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（满分</w:t>
            </w:r>
            <w:r>
              <w:rPr>
                <w:rFonts w:hint="eastAsia" w:ascii="宋体" w:hAnsi="宋体" w:cs="宋体"/>
                <w:color w:val="000000"/>
                <w:kern w:val="0"/>
                <w:szCs w:val="21"/>
                <w:lang w:val="en-US" w:eastAsia="zh-CN"/>
              </w:rPr>
              <w:t>13</w:t>
            </w:r>
          </w:p>
          <w:p>
            <w:pPr>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分）</w:t>
            </w:r>
          </w:p>
        </w:tc>
        <w:tc>
          <w:tcPr>
            <w:tcW w:w="3608" w:type="pct"/>
            <w:gridSpan w:val="2"/>
            <w:noWrap w:val="0"/>
            <w:vAlign w:val="center"/>
          </w:tcPr>
          <w:p>
            <w:pPr>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由评标委员会根据投标人的项目实施方案在相应档次内独立打分。 </w:t>
            </w:r>
          </w:p>
          <w:p>
            <w:pPr>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一档</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rPr>
              <w:t xml:space="preserve"> 分):项目实施方案书写内容简单，或项目实施组织管理机构安装调试方案、 验收方案简单或内容肤浅不切题，配备专门的项目实施技术人员偏少或不做说明；</w:t>
            </w:r>
          </w:p>
          <w:p>
            <w:pPr>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二档</w:t>
            </w:r>
            <w:r>
              <w:rPr>
                <w:rFonts w:hint="eastAsia" w:ascii="宋体" w:hAnsi="宋体" w:eastAsia="宋体" w:cs="宋体"/>
                <w:bCs/>
                <w:szCs w:val="21"/>
                <w:lang w:eastAsia="zh-CN"/>
              </w:rPr>
              <w:t>（</w:t>
            </w:r>
            <w:r>
              <w:rPr>
                <w:rFonts w:hint="eastAsia" w:ascii="宋体" w:hAnsi="宋体" w:eastAsia="宋体" w:cs="宋体"/>
                <w:bCs/>
                <w:szCs w:val="21"/>
                <w:lang w:val="en-US" w:eastAsia="zh-CN"/>
              </w:rPr>
              <w:t>6</w:t>
            </w:r>
            <w:r>
              <w:rPr>
                <w:rFonts w:hint="eastAsia" w:ascii="宋体" w:hAnsi="宋体" w:eastAsia="宋体" w:cs="宋体"/>
                <w:bCs/>
                <w:szCs w:val="21"/>
              </w:rPr>
              <w:t xml:space="preserve"> 分):项目实施方案包含项目实施组织管理机构安装调试方案、验收方案一 般，图表搭配一般，配备专门的项目实施技术人员一般，基本满足项目实施。 </w:t>
            </w:r>
          </w:p>
          <w:p>
            <w:pPr>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三档</w:t>
            </w:r>
            <w:r>
              <w:rPr>
                <w:rFonts w:hint="eastAsia" w:ascii="宋体" w:hAnsi="宋体" w:eastAsia="宋体" w:cs="宋体"/>
                <w:bCs/>
                <w:szCs w:val="21"/>
                <w:lang w:eastAsia="zh-CN"/>
              </w:rPr>
              <w:t>（</w:t>
            </w:r>
            <w:r>
              <w:rPr>
                <w:rFonts w:hint="eastAsia" w:ascii="宋体" w:hAnsi="宋体" w:eastAsia="宋体" w:cs="宋体"/>
                <w:bCs/>
                <w:szCs w:val="21"/>
                <w:lang w:val="en-US" w:eastAsia="zh-CN"/>
              </w:rPr>
              <w:t>9</w:t>
            </w:r>
            <w:r>
              <w:rPr>
                <w:rFonts w:hint="eastAsia" w:ascii="宋体" w:hAnsi="宋体" w:eastAsia="宋体" w:cs="宋体"/>
                <w:bCs/>
                <w:szCs w:val="21"/>
              </w:rPr>
              <w:t xml:space="preserve"> 分):具有较完整详细的项目实施方案、项目实施组织管理机构，且管理机 构分工明确，安装调试方案体现安装过程，有安装调试标准，确保设备正常使用，有配合采购人项目验收的方案，能详细记录整个验收过程，配备专门的项目实施技术人员。</w:t>
            </w:r>
          </w:p>
          <w:p>
            <w:pPr>
              <w:snapToGrid w:val="0"/>
              <w:spacing w:line="400" w:lineRule="exact"/>
              <w:ind w:firstLine="420" w:firstLineChars="200"/>
              <w:rPr>
                <w:rFonts w:hint="eastAsia" w:ascii="宋体" w:hAnsi="宋体" w:cs="宋体"/>
                <w:bCs/>
                <w:szCs w:val="21"/>
              </w:rPr>
            </w:pPr>
            <w:r>
              <w:rPr>
                <w:rFonts w:hint="eastAsia" w:ascii="宋体" w:hAnsi="宋体" w:eastAsia="宋体" w:cs="宋体"/>
                <w:bCs/>
                <w:szCs w:val="21"/>
              </w:rPr>
              <w:t xml:space="preserve"> 四档</w:t>
            </w:r>
            <w:r>
              <w:rPr>
                <w:rFonts w:hint="eastAsia" w:ascii="宋体" w:hAnsi="宋体" w:eastAsia="宋体" w:cs="宋体"/>
                <w:bCs/>
                <w:szCs w:val="21"/>
                <w:lang w:eastAsia="zh-CN"/>
              </w:rPr>
              <w:t>（</w:t>
            </w:r>
            <w:r>
              <w:rPr>
                <w:rFonts w:hint="eastAsia" w:ascii="宋体" w:hAnsi="宋体" w:eastAsia="宋体" w:cs="宋体"/>
                <w:bCs/>
                <w:szCs w:val="21"/>
              </w:rPr>
              <w:t>1</w:t>
            </w:r>
            <w:r>
              <w:rPr>
                <w:rFonts w:hint="eastAsia" w:ascii="宋体" w:hAnsi="宋体" w:eastAsia="宋体" w:cs="宋体"/>
                <w:bCs/>
                <w:szCs w:val="21"/>
                <w:lang w:val="en-US" w:eastAsia="zh-CN"/>
              </w:rPr>
              <w:t>3</w:t>
            </w:r>
            <w:r>
              <w:rPr>
                <w:rFonts w:hint="eastAsia" w:ascii="宋体" w:hAnsi="宋体" w:eastAsia="宋体" w:cs="宋体"/>
                <w:bCs/>
                <w:szCs w:val="21"/>
              </w:rPr>
              <w:t xml:space="preserve"> 分):具有完整详细的项目管理方案，项目实施组织管理机构健全，管理机 构分工明确，安装调试方案体现安装过程，有安装调试标准，确保设备正常使用，有配合 采购人项目验收的方案，能详细记录整个验收过程，配备专门的项目实施技术人员，项目 实施进度节点街接清晰、操作性强，以及施工安全保证措施</w:t>
            </w:r>
          </w:p>
        </w:tc>
        <w:tc>
          <w:tcPr>
            <w:tcW w:w="352" w:type="pct"/>
            <w:noWrap w:val="0"/>
            <w:vAlign w:val="center"/>
          </w:tcPr>
          <w:p>
            <w:pPr>
              <w:snapToGrid w:val="0"/>
              <w:spacing w:line="400" w:lineRule="exact"/>
              <w:ind w:firstLine="420" w:firstLineChars="200"/>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jc w:val="center"/>
        </w:trPr>
        <w:tc>
          <w:tcPr>
            <w:tcW w:w="174" w:type="pct"/>
            <w:vMerge w:val="restart"/>
            <w:noWrap w:val="0"/>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3</w:t>
            </w:r>
          </w:p>
        </w:tc>
        <w:tc>
          <w:tcPr>
            <w:tcW w:w="479" w:type="pct"/>
            <w:vMerge w:val="restart"/>
            <w:noWrap w:val="0"/>
            <w:vAlign w:val="center"/>
          </w:tcPr>
          <w:p>
            <w:pPr>
              <w:adjustRightInd w:val="0"/>
              <w:spacing w:line="360" w:lineRule="auto"/>
              <w:jc w:val="center"/>
              <w:textAlignment w:val="baseline"/>
              <w:rPr>
                <w:rFonts w:hint="eastAsia" w:ascii="宋体" w:hAnsi="宋体" w:cs="宋体"/>
                <w:b/>
                <w:color w:val="000000"/>
                <w:szCs w:val="21"/>
              </w:rPr>
            </w:pPr>
            <w:r>
              <w:rPr>
                <w:rFonts w:hint="eastAsia" w:ascii="宋体" w:hAnsi="宋体" w:cs="宋体"/>
                <w:b/>
                <w:color w:val="000000"/>
                <w:szCs w:val="21"/>
              </w:rPr>
              <w:t>商务分</w:t>
            </w:r>
          </w:p>
          <w:p>
            <w:pPr>
              <w:spacing w:line="360" w:lineRule="auto"/>
              <w:jc w:val="center"/>
              <w:rPr>
                <w:rFonts w:hint="eastAsia" w:ascii="宋体" w:hAnsi="宋体" w:cs="宋体"/>
                <w:b/>
                <w:color w:val="000000"/>
                <w:szCs w:val="21"/>
              </w:rPr>
            </w:pPr>
            <w:r>
              <w:rPr>
                <w:rFonts w:hint="eastAsia" w:ascii="宋体" w:hAnsi="宋体" w:cs="宋体"/>
                <w:color w:val="000000"/>
                <w:szCs w:val="21"/>
              </w:rPr>
              <w:t>（24分）</w:t>
            </w:r>
          </w:p>
        </w:tc>
        <w:tc>
          <w:tcPr>
            <w:tcW w:w="385" w:type="pct"/>
            <w:noWrap w:val="0"/>
            <w:tcMar>
              <w:left w:w="57" w:type="dxa"/>
              <w:right w:w="57" w:type="dxa"/>
            </w:tcMar>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售后服务承诺</w:t>
            </w:r>
          </w:p>
          <w:p>
            <w:pPr>
              <w:spacing w:line="360" w:lineRule="auto"/>
              <w:rPr>
                <w:rFonts w:hint="eastAsia" w:ascii="宋体" w:hAnsi="宋体" w:cs="宋体"/>
                <w:bCs/>
                <w:color w:val="000000"/>
                <w:szCs w:val="21"/>
              </w:rPr>
            </w:pPr>
            <w:r>
              <w:rPr>
                <w:rFonts w:hint="eastAsia" w:ascii="宋体" w:hAnsi="宋体" w:cs="宋体"/>
                <w:bCs/>
                <w:color w:val="000000"/>
                <w:szCs w:val="21"/>
              </w:rPr>
              <w:t>（</w:t>
            </w:r>
            <w:r>
              <w:rPr>
                <w:rFonts w:hint="eastAsia" w:ascii="宋体" w:hAnsi="宋体" w:cs="宋体"/>
                <w:color w:val="000000"/>
                <w:szCs w:val="21"/>
              </w:rPr>
              <w:t>满分</w:t>
            </w:r>
            <w:r>
              <w:rPr>
                <w:rFonts w:hint="eastAsia" w:ascii="宋体" w:hAnsi="宋体" w:cs="宋体"/>
                <w:color w:val="000000"/>
                <w:szCs w:val="21"/>
                <w:u w:val="single"/>
              </w:rPr>
              <w:t xml:space="preserve">15 </w:t>
            </w:r>
            <w:r>
              <w:rPr>
                <w:rFonts w:hint="eastAsia" w:ascii="宋体" w:hAnsi="宋体" w:cs="宋体"/>
                <w:color w:val="000000"/>
                <w:szCs w:val="21"/>
              </w:rPr>
              <w:t>分</w:t>
            </w:r>
            <w:r>
              <w:rPr>
                <w:rFonts w:hint="eastAsia" w:ascii="宋体" w:hAnsi="宋体" w:cs="宋体"/>
                <w:bCs/>
                <w:color w:val="000000"/>
                <w:szCs w:val="21"/>
              </w:rPr>
              <w:t>）</w:t>
            </w:r>
          </w:p>
        </w:tc>
        <w:tc>
          <w:tcPr>
            <w:tcW w:w="3608" w:type="pct"/>
            <w:gridSpan w:val="2"/>
            <w:noWrap w:val="0"/>
            <w:tcMar>
              <w:left w:w="57" w:type="dxa"/>
              <w:right w:w="57" w:type="dxa"/>
            </w:tcMar>
            <w:vAlign w:val="center"/>
          </w:tcPr>
          <w:p>
            <w:pPr>
              <w:snapToGrid w:val="0"/>
              <w:spacing w:line="400" w:lineRule="exact"/>
              <w:ind w:firstLine="420" w:firstLineChars="200"/>
              <w:rPr>
                <w:rFonts w:hint="eastAsia" w:ascii="宋体" w:hAnsi="宋体" w:cs="宋体"/>
                <w:szCs w:val="21"/>
              </w:rPr>
            </w:pPr>
            <w:r>
              <w:rPr>
                <w:rFonts w:hint="eastAsia" w:ascii="宋体" w:hAnsi="宋体" w:cs="宋体"/>
                <w:szCs w:val="21"/>
              </w:rPr>
              <w:t>评标委员会对投标人售后服务承诺书内容的完整性、</w:t>
            </w:r>
            <w:r>
              <w:rPr>
                <w:rFonts w:hint="eastAsia" w:ascii="宋体" w:hAnsi="宋体" w:cs="宋体"/>
                <w:bCs/>
                <w:szCs w:val="21"/>
              </w:rPr>
              <w:t>可行性</w:t>
            </w:r>
            <w:r>
              <w:rPr>
                <w:rFonts w:hint="eastAsia" w:ascii="宋体" w:hAnsi="宋体" w:cs="宋体"/>
                <w:szCs w:val="21"/>
              </w:rPr>
              <w:t>，到达故障现场时间、故障出现解决方案、定期维护 （注明时间）、免费保修期（免费软件升级期）外维修方案、本地化售后服务措施、其他优惠措施、安装要求及方案、等方面进行评价，全面考核售后服务内容的可行性、科学性、高效性：</w:t>
            </w:r>
          </w:p>
          <w:p>
            <w:pPr>
              <w:spacing w:line="400" w:lineRule="exact"/>
              <w:ind w:firstLine="371" w:firstLineChars="177"/>
              <w:jc w:val="left"/>
              <w:rPr>
                <w:rFonts w:hint="eastAsia" w:ascii="宋体" w:hAnsi="宋体" w:cs="宋体"/>
                <w:szCs w:val="21"/>
              </w:rPr>
            </w:pPr>
            <w:r>
              <w:rPr>
                <w:rFonts w:hint="eastAsia" w:ascii="宋体" w:hAnsi="宋体" w:cs="宋体"/>
                <w:szCs w:val="21"/>
              </w:rPr>
              <w:t>一档（</w:t>
            </w:r>
            <w:r>
              <w:rPr>
                <w:rFonts w:ascii="宋体" w:hAnsi="宋体" w:cs="宋体"/>
                <w:szCs w:val="21"/>
              </w:rPr>
              <w:t>1</w:t>
            </w:r>
            <w:r>
              <w:rPr>
                <w:rFonts w:hint="eastAsia" w:ascii="宋体" w:hAnsi="宋体" w:cs="宋体"/>
                <w:szCs w:val="21"/>
              </w:rPr>
              <w:t>分）：售后服务内容简单粗略，内容不完整。</w:t>
            </w:r>
          </w:p>
          <w:p>
            <w:pPr>
              <w:spacing w:line="400" w:lineRule="exact"/>
              <w:ind w:firstLine="371" w:firstLineChars="177"/>
              <w:jc w:val="left"/>
              <w:rPr>
                <w:rFonts w:hint="eastAsia" w:ascii="宋体" w:hAnsi="宋体" w:cs="宋体"/>
                <w:bCs/>
                <w:szCs w:val="21"/>
              </w:rPr>
            </w:pPr>
            <w:r>
              <w:rPr>
                <w:rFonts w:hint="eastAsia" w:ascii="宋体" w:hAnsi="宋体" w:cs="宋体"/>
                <w:szCs w:val="21"/>
              </w:rPr>
              <w:t>二档（5分）：满足招标文件售后服务要求的；售后服务内容基本完整</w:t>
            </w:r>
            <w:r>
              <w:rPr>
                <w:rFonts w:hint="eastAsia" w:ascii="宋体" w:hAnsi="宋体" w:cs="宋体"/>
                <w:szCs w:val="21"/>
                <w:lang w:eastAsia="zh-CN"/>
              </w:rPr>
              <w:t>；</w:t>
            </w:r>
            <w:r>
              <w:rPr>
                <w:rFonts w:hint="eastAsia" w:ascii="宋体" w:hAnsi="宋体" w:cs="宋体"/>
                <w:szCs w:val="21"/>
              </w:rPr>
              <w:t>综合评定一般的，要求以售后服务承诺书内容的可行性，免费保修期（免费软件升级期）外维修方案、</w:t>
            </w:r>
            <w:r>
              <w:rPr>
                <w:rFonts w:hint="eastAsia" w:ascii="宋体" w:hAnsi="宋体" w:cs="宋体"/>
                <w:szCs w:val="21"/>
                <w:lang w:val="en-US" w:eastAsia="zh-CN"/>
              </w:rPr>
              <w:t>承诺24小时内响应</w:t>
            </w:r>
            <w:r>
              <w:rPr>
                <w:rFonts w:hint="eastAsia" w:ascii="宋体" w:hAnsi="宋体" w:cs="宋体"/>
                <w:szCs w:val="21"/>
              </w:rPr>
              <w:t>售后服务措施；</w:t>
            </w:r>
          </w:p>
          <w:p>
            <w:pPr>
              <w:spacing w:line="400" w:lineRule="exact"/>
              <w:ind w:firstLine="371" w:firstLineChars="177"/>
              <w:jc w:val="left"/>
              <w:rPr>
                <w:rFonts w:hint="eastAsia" w:ascii="宋体" w:hAnsi="宋体" w:cs="宋体"/>
                <w:bCs/>
                <w:szCs w:val="21"/>
              </w:rPr>
            </w:pPr>
            <w:r>
              <w:rPr>
                <w:rFonts w:hint="eastAsia" w:ascii="宋体" w:hAnsi="宋体" w:cs="宋体"/>
                <w:bCs/>
                <w:szCs w:val="21"/>
                <w:lang w:val="en-US" w:eastAsia="zh-CN"/>
              </w:rPr>
              <w:t>三</w:t>
            </w:r>
            <w:r>
              <w:rPr>
                <w:rFonts w:hint="eastAsia" w:ascii="宋体" w:hAnsi="宋体" w:cs="宋体"/>
                <w:bCs/>
                <w:szCs w:val="21"/>
              </w:rPr>
              <w:t>档（</w:t>
            </w:r>
            <w:r>
              <w:rPr>
                <w:rFonts w:hint="eastAsia" w:ascii="宋体" w:hAnsi="宋体" w:cs="宋体"/>
                <w:bCs/>
                <w:szCs w:val="21"/>
                <w:lang w:val="en-US" w:eastAsia="zh-CN"/>
              </w:rPr>
              <w:t>10</w:t>
            </w:r>
            <w:r>
              <w:rPr>
                <w:rFonts w:hint="eastAsia" w:ascii="宋体" w:hAnsi="宋体" w:cs="宋体"/>
                <w:bCs/>
                <w:szCs w:val="21"/>
              </w:rPr>
              <w:t>分）：</w:t>
            </w:r>
            <w:r>
              <w:rPr>
                <w:rFonts w:hint="eastAsia" w:ascii="宋体" w:hAnsi="宋体" w:cs="宋体"/>
                <w:szCs w:val="21"/>
              </w:rPr>
              <w:t>综合评定良好的，要求以售后服务承诺书内容的完整性、可行性、免费保修期（免费软件升级期）外维修方案、</w:t>
            </w:r>
            <w:r>
              <w:rPr>
                <w:rFonts w:hint="eastAsia" w:ascii="宋体" w:hAnsi="宋体" w:cs="宋体"/>
                <w:szCs w:val="21"/>
                <w:lang w:val="en-US" w:eastAsia="zh-CN"/>
              </w:rPr>
              <w:t>承诺12小时内响应</w:t>
            </w:r>
            <w:r>
              <w:rPr>
                <w:rFonts w:hint="eastAsia" w:ascii="宋体" w:hAnsi="宋体" w:cs="宋体"/>
                <w:szCs w:val="21"/>
              </w:rPr>
              <w:t>售后服务措施、其他优惠措施、安装要求及方案</w:t>
            </w:r>
            <w:r>
              <w:rPr>
                <w:rFonts w:hint="eastAsia" w:ascii="宋体" w:hAnsi="宋体" w:cs="宋体"/>
                <w:bCs/>
                <w:szCs w:val="21"/>
              </w:rPr>
              <w:t>且描述了项目售后维护和应急保障方案的方法以及实现方式，方案可行较详细；</w:t>
            </w:r>
          </w:p>
          <w:p>
            <w:pPr>
              <w:widowControl/>
              <w:snapToGrid w:val="0"/>
              <w:spacing w:line="360" w:lineRule="auto"/>
              <w:ind w:firstLine="420" w:firstLineChars="200"/>
              <w:jc w:val="left"/>
              <w:rPr>
                <w:rFonts w:hint="eastAsia" w:ascii="宋体" w:hAnsi="宋体" w:cs="宋体"/>
                <w:bCs/>
                <w:color w:val="000000"/>
                <w:szCs w:val="21"/>
              </w:rPr>
            </w:pPr>
            <w:r>
              <w:rPr>
                <w:rFonts w:hint="eastAsia" w:ascii="宋体" w:hAnsi="宋体" w:cs="宋体"/>
                <w:bCs/>
                <w:szCs w:val="21"/>
                <w:lang w:val="en-US" w:eastAsia="zh-CN"/>
              </w:rPr>
              <w:t>四</w:t>
            </w:r>
            <w:r>
              <w:rPr>
                <w:rFonts w:hint="eastAsia" w:ascii="宋体" w:hAnsi="宋体" w:cs="宋体"/>
                <w:bCs/>
                <w:szCs w:val="21"/>
              </w:rPr>
              <w:t>档（15分）：</w:t>
            </w:r>
            <w:r>
              <w:rPr>
                <w:rFonts w:hint="eastAsia" w:ascii="宋体" w:hAnsi="宋体" w:cs="宋体"/>
                <w:szCs w:val="21"/>
              </w:rPr>
              <w:t>综合评定优秀的，要求以售后服务承诺书内容的、可行性，到达故障现场时间、故障出现解决方案、定期维护 （注明时间）、免费保修期（免费软件升级期）外维修方案、</w:t>
            </w:r>
            <w:r>
              <w:rPr>
                <w:rFonts w:hint="eastAsia" w:ascii="宋体" w:hAnsi="宋体" w:cs="宋体"/>
                <w:szCs w:val="21"/>
                <w:lang w:val="en-US" w:eastAsia="zh-CN"/>
              </w:rPr>
              <w:t>承诺8小时内响应</w:t>
            </w:r>
            <w:r>
              <w:rPr>
                <w:rFonts w:hint="eastAsia" w:ascii="宋体" w:hAnsi="宋体" w:cs="宋体"/>
                <w:szCs w:val="21"/>
              </w:rPr>
              <w:t>售后服务措施、其他优惠措施、安装要求及方案，</w:t>
            </w:r>
            <w:r>
              <w:rPr>
                <w:rFonts w:hint="eastAsia" w:ascii="宋体" w:hAnsi="宋体" w:cs="宋体"/>
                <w:bCs/>
                <w:szCs w:val="21"/>
              </w:rPr>
              <w:t>应急保障方案且描述了项目售后维护和应急保障方案的方法以及实现方式，服务承诺和保障措施考虑周全完整详细。</w:t>
            </w:r>
          </w:p>
        </w:tc>
        <w:tc>
          <w:tcPr>
            <w:tcW w:w="352" w:type="pct"/>
            <w:noWrap w:val="0"/>
            <w:tcMar>
              <w:left w:w="57" w:type="dxa"/>
              <w:right w:w="57" w:type="dxa"/>
            </w:tcMar>
            <w:vAlign w:val="center"/>
          </w:tcPr>
          <w:p>
            <w:pPr>
              <w:widowControl/>
              <w:snapToGrid w:val="0"/>
              <w:spacing w:line="360" w:lineRule="auto"/>
              <w:ind w:firstLine="420" w:firstLineChars="200"/>
              <w:jc w:val="left"/>
              <w:rPr>
                <w:rFonts w:hint="eastAsia" w:ascii="宋体" w:hAnsi="宋体" w:cs="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74" w:type="pct"/>
            <w:vMerge w:val="continue"/>
            <w:noWrap w:val="0"/>
            <w:vAlign w:val="center"/>
          </w:tcPr>
          <w:p>
            <w:pPr>
              <w:spacing w:line="360" w:lineRule="auto"/>
              <w:jc w:val="center"/>
              <w:rPr>
                <w:rFonts w:hint="eastAsia" w:ascii="宋体" w:hAnsi="宋体" w:cs="宋体"/>
                <w:b/>
                <w:color w:val="000000"/>
                <w:szCs w:val="21"/>
              </w:rPr>
            </w:pPr>
          </w:p>
        </w:tc>
        <w:tc>
          <w:tcPr>
            <w:tcW w:w="479" w:type="pct"/>
            <w:vMerge w:val="continue"/>
            <w:noWrap w:val="0"/>
            <w:vAlign w:val="center"/>
          </w:tcPr>
          <w:p>
            <w:pPr>
              <w:spacing w:line="360" w:lineRule="auto"/>
              <w:jc w:val="center"/>
              <w:rPr>
                <w:rFonts w:hint="eastAsia" w:ascii="宋体" w:hAnsi="宋体" w:cs="宋体"/>
                <w:b/>
                <w:color w:val="000000"/>
                <w:szCs w:val="21"/>
              </w:rPr>
            </w:pPr>
          </w:p>
        </w:tc>
        <w:tc>
          <w:tcPr>
            <w:tcW w:w="385" w:type="pct"/>
            <w:noWrap w:val="0"/>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业绩信誉</w:t>
            </w:r>
          </w:p>
          <w:p>
            <w:pPr>
              <w:spacing w:line="360" w:lineRule="auto"/>
              <w:rPr>
                <w:rFonts w:hint="eastAsia" w:ascii="宋体" w:hAnsi="宋体" w:cs="宋体"/>
                <w:color w:val="000000"/>
                <w:szCs w:val="21"/>
              </w:rPr>
            </w:pPr>
            <w:r>
              <w:rPr>
                <w:rFonts w:hint="eastAsia" w:ascii="宋体" w:hAnsi="宋体" w:cs="宋体"/>
                <w:bCs/>
                <w:color w:val="000000"/>
                <w:szCs w:val="21"/>
              </w:rPr>
              <w:t>（</w:t>
            </w:r>
            <w:r>
              <w:rPr>
                <w:rFonts w:hint="eastAsia" w:ascii="宋体" w:hAnsi="宋体" w:cs="宋体"/>
                <w:color w:val="000000"/>
                <w:szCs w:val="21"/>
              </w:rPr>
              <w:t>满分</w:t>
            </w:r>
            <w:r>
              <w:rPr>
                <w:rFonts w:hint="eastAsia" w:ascii="宋体" w:hAnsi="宋体" w:cs="宋体"/>
                <w:color w:val="000000"/>
                <w:szCs w:val="21"/>
                <w:lang w:val="en-US" w:eastAsia="zh-CN"/>
              </w:rPr>
              <w:t>6</w:t>
            </w:r>
            <w:r>
              <w:rPr>
                <w:rFonts w:hint="eastAsia" w:ascii="宋体" w:hAnsi="宋体" w:cs="宋体"/>
                <w:color w:val="000000"/>
                <w:szCs w:val="21"/>
              </w:rPr>
              <w:t>分</w:t>
            </w:r>
            <w:r>
              <w:rPr>
                <w:rFonts w:hint="eastAsia" w:ascii="宋体" w:hAnsi="宋体" w:cs="宋体"/>
                <w:bCs/>
                <w:color w:val="000000"/>
                <w:szCs w:val="21"/>
              </w:rPr>
              <w:t>）</w:t>
            </w:r>
          </w:p>
        </w:tc>
        <w:tc>
          <w:tcPr>
            <w:tcW w:w="3608" w:type="pct"/>
            <w:gridSpan w:val="2"/>
            <w:noWrap w:val="0"/>
            <w:vAlign w:val="center"/>
          </w:tcPr>
          <w:p>
            <w:pPr>
              <w:widowControl/>
              <w:snapToGrid w:val="0"/>
              <w:spacing w:line="360" w:lineRule="auto"/>
              <w:jc w:val="left"/>
              <w:rPr>
                <w:rFonts w:hint="eastAsia" w:ascii="宋体" w:hAnsi="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投标人或投标产品生产厂家通过质量管理体系认证ISO9001、职业健康安全管理体系认证 ISO45001、环境管理体系认证 ISO14001，每有 1 项得 1 分，满分 3 分</w:t>
            </w:r>
            <w:r>
              <w:rPr>
                <w:rFonts w:hint="eastAsia" w:ascii="宋体" w:hAnsi="宋体" w:eastAsia="宋体" w:cs="宋体"/>
                <w:b/>
                <w:bCs/>
                <w:color w:val="000000"/>
                <w:kern w:val="0"/>
                <w:szCs w:val="21"/>
                <w:lang w:val="en-US" w:eastAsia="zh-CN"/>
              </w:rPr>
              <w:t>（投标文件中提供有效的证书复印件并加盖公章，否则不予以计分）</w:t>
            </w:r>
            <w:r>
              <w:rPr>
                <w:rFonts w:hint="eastAsia" w:ascii="宋体" w:hAnsi="宋体" w:eastAsia="宋体" w:cs="宋体"/>
                <w:color w:val="000000"/>
                <w:kern w:val="0"/>
                <w:szCs w:val="21"/>
                <w:lang w:val="en-US" w:eastAsia="zh-CN"/>
              </w:rPr>
              <w:t>。</w:t>
            </w:r>
          </w:p>
          <w:p>
            <w:pPr>
              <w:widowControl/>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（2）投标人自20</w:t>
            </w:r>
            <w:r>
              <w:rPr>
                <w:rFonts w:hint="eastAsia" w:ascii="宋体" w:hAnsi="宋体" w:cs="宋体"/>
                <w:color w:val="000000"/>
                <w:kern w:val="0"/>
                <w:szCs w:val="21"/>
                <w:lang w:val="en-US" w:eastAsia="zh-CN"/>
              </w:rPr>
              <w:t>21</w:t>
            </w:r>
            <w:r>
              <w:rPr>
                <w:rFonts w:hint="eastAsia" w:ascii="宋体" w:hAnsi="宋体" w:cs="宋体"/>
                <w:color w:val="000000"/>
                <w:kern w:val="0"/>
                <w:szCs w:val="21"/>
              </w:rPr>
              <w:t xml:space="preserve"> 年以来具有类似项目业绩，每有1 项得1 分，满分</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 分（投标文件中提供有效的合同复印件或中标（成交）通知书复印件）。</w:t>
            </w:r>
          </w:p>
        </w:tc>
        <w:tc>
          <w:tcPr>
            <w:tcW w:w="352" w:type="pct"/>
            <w:noWrap w:val="0"/>
            <w:vAlign w:val="center"/>
          </w:tcPr>
          <w:p>
            <w:pPr>
              <w:widowControl/>
              <w:snapToGrid w:val="0"/>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 w:type="pct"/>
            <w:vMerge w:val="continue"/>
            <w:noWrap w:val="0"/>
            <w:vAlign w:val="center"/>
          </w:tcPr>
          <w:p>
            <w:pPr>
              <w:spacing w:line="360" w:lineRule="auto"/>
              <w:jc w:val="center"/>
              <w:rPr>
                <w:rFonts w:hint="eastAsia" w:ascii="宋体" w:hAnsi="宋体" w:cs="宋体"/>
                <w:b/>
                <w:color w:val="000000"/>
                <w:szCs w:val="21"/>
              </w:rPr>
            </w:pPr>
          </w:p>
        </w:tc>
        <w:tc>
          <w:tcPr>
            <w:tcW w:w="479" w:type="pct"/>
            <w:vMerge w:val="continue"/>
            <w:noWrap w:val="0"/>
            <w:vAlign w:val="center"/>
          </w:tcPr>
          <w:p>
            <w:pPr>
              <w:spacing w:line="360" w:lineRule="auto"/>
              <w:jc w:val="center"/>
              <w:rPr>
                <w:rFonts w:hint="eastAsia" w:ascii="宋体" w:hAnsi="宋体" w:cs="宋体"/>
                <w:b/>
                <w:color w:val="000000"/>
                <w:szCs w:val="21"/>
              </w:rPr>
            </w:pPr>
          </w:p>
        </w:tc>
        <w:tc>
          <w:tcPr>
            <w:tcW w:w="385" w:type="pct"/>
            <w:noWrap w:val="0"/>
            <w:vAlign w:val="center"/>
          </w:tcPr>
          <w:p>
            <w:pPr>
              <w:spacing w:line="360" w:lineRule="auto"/>
              <w:jc w:val="left"/>
              <w:rPr>
                <w:rFonts w:hint="eastAsia" w:ascii="宋体" w:hAnsi="宋体" w:cs="宋体"/>
                <w:color w:val="000000"/>
                <w:szCs w:val="21"/>
              </w:rPr>
            </w:pPr>
            <w:r>
              <w:rPr>
                <w:rFonts w:hint="eastAsia" w:ascii="宋体" w:hAnsi="宋体" w:cs="宋体"/>
                <w:b/>
                <w:color w:val="000000"/>
                <w:szCs w:val="21"/>
              </w:rPr>
              <w:t>政策分</w:t>
            </w:r>
            <w:r>
              <w:rPr>
                <w:rFonts w:hint="eastAsia" w:ascii="宋体" w:hAnsi="宋体" w:cs="宋体"/>
                <w:color w:val="000000"/>
                <w:szCs w:val="21"/>
              </w:rPr>
              <w:t>（满分</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分）</w:t>
            </w:r>
          </w:p>
        </w:tc>
        <w:tc>
          <w:tcPr>
            <w:tcW w:w="895" w:type="pct"/>
            <w:noWrap w:val="0"/>
            <w:vAlign w:val="top"/>
          </w:tcPr>
          <w:p>
            <w:pPr>
              <w:pStyle w:val="6"/>
              <w:spacing w:line="360" w:lineRule="auto"/>
              <w:rPr>
                <w:rFonts w:hint="eastAsia" w:hAnsi="宋体" w:cs="宋体"/>
                <w:b/>
                <w:color w:val="000000"/>
                <w:kern w:val="2"/>
                <w:sz w:val="21"/>
                <w:lang w:val="en-US" w:eastAsia="zh-CN"/>
              </w:rPr>
            </w:pPr>
          </w:p>
          <w:p>
            <w:pPr>
              <w:pStyle w:val="6"/>
              <w:spacing w:line="360" w:lineRule="auto"/>
              <w:rPr>
                <w:rFonts w:hint="eastAsia" w:hAnsi="宋体" w:cs="宋体"/>
                <w:b/>
                <w:color w:val="000000"/>
                <w:kern w:val="2"/>
                <w:sz w:val="21"/>
                <w:lang w:val="en-US" w:eastAsia="zh-CN"/>
              </w:rPr>
            </w:pPr>
          </w:p>
          <w:p>
            <w:pPr>
              <w:pStyle w:val="6"/>
              <w:spacing w:line="360" w:lineRule="auto"/>
              <w:rPr>
                <w:rFonts w:hint="eastAsia" w:hAnsi="宋体" w:cs="宋体"/>
                <w:b/>
                <w:color w:val="000000"/>
                <w:kern w:val="2"/>
                <w:sz w:val="21"/>
                <w:lang w:val="en-US" w:eastAsia="zh-CN"/>
              </w:rPr>
            </w:pPr>
          </w:p>
          <w:p>
            <w:pPr>
              <w:pStyle w:val="6"/>
              <w:spacing w:line="360" w:lineRule="auto"/>
              <w:rPr>
                <w:rFonts w:hint="eastAsia" w:hAnsi="宋体" w:cs="宋体"/>
                <w:b/>
                <w:color w:val="000000"/>
                <w:kern w:val="2"/>
                <w:sz w:val="21"/>
                <w:lang w:val="en-US" w:eastAsia="zh-CN"/>
              </w:rPr>
            </w:pPr>
          </w:p>
          <w:p>
            <w:pPr>
              <w:pStyle w:val="6"/>
              <w:spacing w:line="360" w:lineRule="auto"/>
              <w:rPr>
                <w:rFonts w:hint="eastAsia" w:hAnsi="宋体" w:cs="宋体"/>
                <w:b/>
                <w:color w:val="000000"/>
                <w:kern w:val="2"/>
                <w:sz w:val="21"/>
                <w:lang w:val="en-US" w:eastAsia="zh-CN"/>
              </w:rPr>
            </w:pPr>
          </w:p>
          <w:p>
            <w:pPr>
              <w:pStyle w:val="6"/>
              <w:spacing w:line="360" w:lineRule="auto"/>
              <w:rPr>
                <w:rFonts w:hint="eastAsia" w:hAnsi="宋体" w:cs="宋体"/>
                <w:bCs/>
                <w:color w:val="000000"/>
                <w:kern w:val="2"/>
                <w:sz w:val="21"/>
                <w:lang w:val="en-US" w:eastAsia="zh-CN"/>
              </w:rPr>
            </w:pPr>
            <w:r>
              <w:rPr>
                <w:rFonts w:hint="eastAsia" w:hAnsi="宋体" w:cs="宋体"/>
                <w:b/>
                <w:color w:val="000000"/>
                <w:kern w:val="2"/>
                <w:sz w:val="21"/>
                <w:lang w:val="en-US" w:eastAsia="zh-CN"/>
              </w:rPr>
              <w:t>节能、环境标志产品</w:t>
            </w:r>
          </w:p>
        </w:tc>
        <w:tc>
          <w:tcPr>
            <w:tcW w:w="2712" w:type="pct"/>
            <w:noWrap w:val="0"/>
            <w:vAlign w:val="top"/>
          </w:tcPr>
          <w:p>
            <w:pPr>
              <w:snapToGrid w:val="0"/>
              <w:spacing w:line="400" w:lineRule="exact"/>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（1）投标产品纳入《财政部 发展改革委 生态环境部 市场监管总局关于调整优化节能产品环境标志产品政府采购执行机制的通知》（财库〔2019〕9号）中节能产品政府采购品目清单的（适用于非强制采购节能产品，产品提供投标产品所属节能产品认证证书复印件并加盖单位公章），得1.5分。</w:t>
            </w:r>
          </w:p>
          <w:p>
            <w:pPr>
              <w:snapToGrid w:val="0"/>
              <w:spacing w:line="400" w:lineRule="exact"/>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（2）投标产品纳入《财政部发展改革委生态环境部市场监管总局关于调整优化节能产品 环境标志产品政府采购执行机制的通知》（财库〔2019〕9号）中环境标志产品政府采购品目清单的（提供投标产品所属环境标志产品认证证书复印件并加盖单位公章），得1.5分。</w:t>
            </w:r>
          </w:p>
          <w:p>
            <w:pPr>
              <w:snapToGrid w:val="0"/>
              <w:spacing w:line="400" w:lineRule="exact"/>
              <w:ind w:firstLine="420" w:firstLineChars="200"/>
              <w:rPr>
                <w:rFonts w:hint="eastAsia" w:ascii="宋体" w:hAnsi="宋体" w:eastAsia="宋体" w:cs="宋体"/>
                <w:kern w:val="0"/>
                <w:szCs w:val="21"/>
                <w:lang w:val="en-US" w:eastAsia="zh-CN" w:bidi="ar"/>
              </w:rPr>
            </w:pPr>
          </w:p>
        </w:tc>
        <w:tc>
          <w:tcPr>
            <w:tcW w:w="352" w:type="pct"/>
            <w:noWrap w:val="0"/>
            <w:vAlign w:val="top"/>
          </w:tcPr>
          <w:p>
            <w:pPr>
              <w:snapToGrid w:val="0"/>
              <w:spacing w:line="400" w:lineRule="exact"/>
              <w:ind w:firstLine="420" w:firstLineChars="200"/>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647" w:type="pct"/>
            <w:gridSpan w:val="5"/>
            <w:noWrap w:val="0"/>
            <w:vAlign w:val="center"/>
          </w:tcPr>
          <w:p>
            <w:pPr>
              <w:pStyle w:val="6"/>
              <w:spacing w:line="360" w:lineRule="auto"/>
              <w:ind w:firstLine="420"/>
              <w:rPr>
                <w:rFonts w:hint="eastAsia" w:hAnsi="宋体" w:cs="宋体"/>
                <w:bCs/>
                <w:color w:val="000000"/>
                <w:kern w:val="2"/>
                <w:sz w:val="21"/>
                <w:lang w:val="en-US" w:eastAsia="zh-CN"/>
              </w:rPr>
            </w:pPr>
            <w:r>
              <w:rPr>
                <w:rFonts w:hint="eastAsia" w:hAnsi="宋体" w:cs="宋体"/>
                <w:b/>
                <w:bCs/>
                <w:color w:val="000000"/>
                <w:kern w:val="2"/>
                <w:sz w:val="24"/>
                <w:szCs w:val="24"/>
                <w:lang w:val="en-US" w:eastAsia="zh-CN"/>
              </w:rPr>
              <w:t>总得分=1+2+3。</w:t>
            </w:r>
          </w:p>
        </w:tc>
        <w:tc>
          <w:tcPr>
            <w:tcW w:w="352" w:type="pct"/>
            <w:noWrap w:val="0"/>
            <w:vAlign w:val="center"/>
          </w:tcPr>
          <w:p>
            <w:pPr>
              <w:pStyle w:val="6"/>
              <w:spacing w:line="360" w:lineRule="auto"/>
              <w:ind w:firstLine="420"/>
              <w:rPr>
                <w:rFonts w:hint="eastAsia" w:hAnsi="宋体" w:cs="宋体"/>
                <w:b/>
                <w:bCs/>
                <w:color w:val="000000"/>
                <w:kern w:val="2"/>
                <w:sz w:val="21"/>
                <w:lang w:val="en-US" w:eastAsia="zh-CN"/>
              </w:rPr>
            </w:pPr>
          </w:p>
        </w:tc>
      </w:tr>
    </w:tbl>
    <w:p>
      <w:pPr>
        <w:pStyle w:val="6"/>
        <w:spacing w:line="360" w:lineRule="auto"/>
        <w:ind w:firstLine="420"/>
        <w:rPr>
          <w:rFonts w:hint="eastAsia" w:hAnsi="宋体" w:cs="宋体"/>
          <w:bCs/>
          <w:color w:val="000000"/>
          <w:sz w:val="21"/>
        </w:rPr>
      </w:pPr>
      <w:r>
        <w:rPr>
          <w:rFonts w:hint="eastAsia" w:hAnsi="宋体" w:cs="宋体"/>
          <w:bCs/>
          <w:color w:val="000000"/>
          <w:sz w:val="21"/>
        </w:rPr>
        <w:t>注：计分方法按四舍五入取至百分位</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784EF-D7CB-4117-A05D-4ED639A39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7A30552-C727-49E6-B971-0300C1F1AB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MWVjMzZhOTYxYzQyNmY0YmI3MjNkZmU2YjZlY2EifQ=="/>
  </w:docVars>
  <w:rsids>
    <w:rsidRoot w:val="58286C87"/>
    <w:rsid w:val="11314AE3"/>
    <w:rsid w:val="58286C87"/>
    <w:rsid w:val="5CD5235D"/>
    <w:rsid w:val="7136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iPriority w:val="0"/>
    <w:pPr>
      <w:adjustRightInd w:val="0"/>
      <w:snapToGrid w:val="0"/>
      <w:spacing w:line="240" w:lineRule="atLeast"/>
      <w:jc w:val="center"/>
    </w:pPr>
    <w:rPr>
      <w:rFonts w:ascii="宋体" w:hAnsi="宋体" w:eastAsia="宋体" w:cs="Times New Roman"/>
      <w:color w:val="FF00FF"/>
      <w:sz w:val="24"/>
      <w:szCs w:val="21"/>
    </w:rPr>
  </w:style>
  <w:style w:type="paragraph" w:customStyle="1" w:styleId="3">
    <w:name w:val="一级条标题"/>
    <w:basedOn w:val="4"/>
    <w:next w:val="5"/>
    <w:autoRedefine/>
    <w:qFormat/>
    <w:uiPriority w:val="0"/>
    <w:pPr>
      <w:tabs>
        <w:tab w:val="left" w:pos="1260"/>
      </w:tabs>
      <w:spacing w:before="0" w:after="0" w:line="240" w:lineRule="auto"/>
      <w:ind w:left="1260" w:hanging="420"/>
      <w:outlineLvl w:val="2"/>
    </w:pPr>
  </w:style>
  <w:style w:type="paragraph" w:customStyle="1" w:styleId="4">
    <w:name w:val="章标题"/>
    <w:next w:val="1"/>
    <w:autoRedefine/>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6">
    <w:name w:val="Plain Text"/>
    <w:basedOn w:val="1"/>
    <w:autoRedefine/>
    <w:qFormat/>
    <w:uiPriority w:val="0"/>
    <w:rPr>
      <w:rFonts w:ascii="宋体" w:hAnsi="Courier New"/>
      <w:kern w:val="0"/>
      <w:sz w:val="20"/>
      <w:szCs w:val="21"/>
    </w:rPr>
  </w:style>
  <w:style w:type="character" w:styleId="9">
    <w:name w:val="annotation reference"/>
    <w:autoRedefine/>
    <w:unhideWhenUsed/>
    <w:qFormat/>
    <w:uiPriority w:val="0"/>
    <w:rPr>
      <w:sz w:val="21"/>
      <w:szCs w:val="21"/>
    </w:rPr>
  </w:style>
  <w:style w:type="paragraph" w:customStyle="1" w:styleId="10">
    <w:name w:val="表格文字"/>
    <w:basedOn w:val="1"/>
    <w:qFormat/>
    <w:uiPriority w:val="0"/>
    <w:pPr>
      <w:autoSpaceDE/>
      <w:autoSpaceDN/>
      <w:adjustRightInd/>
      <w:spacing w:before="25" w:after="25"/>
    </w:pPr>
    <w:rPr>
      <w:rFonts w:ascii="Times New Roman"/>
      <w:bCs/>
      <w:spacing w:val="1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2024-04-28T08:07:00Z</dcterms:created>
  <dc:creator>Tely</dc:creator>
  <cp:lastModifiedBy>ㅤㅤㅤㅤㅤㅤㅤㅤㅤ</cp:lastModifiedBy>
  <dcterms:modified xsi:type="dcterms:W3CDTF">2024-04-29T03:47:11Z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DED81B95084C4F37B24150075A512E17_13</vt:lpwstr>
  </property>
</Properties>
</file>