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950"/>
        </w:tabs>
        <w:spacing w:before="120" w:line="320" w:lineRule="atLeast"/>
        <w:jc w:val="left"/>
        <w:outlineLvl w:val="1"/>
        <w:rPr>
          <w:rFonts w:hint="eastAsia" w:ascii="方正小标宋简体" w:hAnsi="方正小标宋简体" w:eastAsia="方正小标宋简体" w:cs="方正小标宋简体"/>
          <w:b/>
          <w:bCs/>
          <w:kern w:val="0"/>
          <w:sz w:val="44"/>
          <w:szCs w:val="44"/>
          <w:highlight w:val="none"/>
        </w:rPr>
      </w:pPr>
      <w:r>
        <w:rPr>
          <w:rFonts w:hint="eastAsia" w:ascii="方正小标宋简体" w:hAnsi="方正小标宋简体" w:eastAsia="方正小标宋简体" w:cs="方正小标宋简体"/>
          <w:b/>
          <w:bCs/>
          <w:kern w:val="0"/>
          <w:sz w:val="44"/>
          <w:szCs w:val="44"/>
          <w:highlight w:val="none"/>
          <w:lang w:val="en-US" w:eastAsia="zh-CN"/>
        </w:rPr>
        <w:t>附件1：</w:t>
      </w:r>
      <w:bookmarkStart w:id="0" w:name="_GoBack"/>
      <w:bookmarkEnd w:id="0"/>
      <w:r>
        <w:rPr>
          <w:rFonts w:hint="eastAsia" w:ascii="方正小标宋简体" w:hAnsi="方正小标宋简体" w:eastAsia="方正小标宋简体" w:cs="方正小标宋简体"/>
          <w:b/>
          <w:bCs/>
          <w:kern w:val="0"/>
          <w:sz w:val="44"/>
          <w:szCs w:val="44"/>
          <w:highlight w:val="none"/>
          <w:lang w:val="en-US" w:eastAsia="zh-CN"/>
        </w:rPr>
        <w:t>江北院区外科住院楼建设项目预算编制服务磋商综合</w:t>
      </w:r>
      <w:r>
        <w:rPr>
          <w:rFonts w:hint="eastAsia" w:ascii="方正小标宋简体" w:hAnsi="方正小标宋简体" w:eastAsia="方正小标宋简体" w:cs="方正小标宋简体"/>
          <w:b/>
          <w:bCs/>
          <w:kern w:val="0"/>
          <w:sz w:val="44"/>
          <w:szCs w:val="44"/>
          <w:highlight w:val="none"/>
        </w:rPr>
        <w:t>评</w:t>
      </w:r>
      <w:r>
        <w:rPr>
          <w:rFonts w:hint="eastAsia" w:ascii="方正小标宋简体" w:hAnsi="方正小标宋简体" w:eastAsia="方正小标宋简体" w:cs="方正小标宋简体"/>
          <w:b/>
          <w:bCs/>
          <w:kern w:val="0"/>
          <w:sz w:val="44"/>
          <w:szCs w:val="44"/>
          <w:highlight w:val="none"/>
          <w:lang w:val="en-US" w:eastAsia="zh-CN"/>
        </w:rPr>
        <w:t>分</w:t>
      </w:r>
      <w:r>
        <w:rPr>
          <w:rFonts w:hint="eastAsia" w:ascii="方正小标宋简体" w:hAnsi="方正小标宋简体" w:eastAsia="方正小标宋简体" w:cs="方正小标宋简体"/>
          <w:b/>
          <w:bCs/>
          <w:kern w:val="0"/>
          <w:sz w:val="44"/>
          <w:szCs w:val="44"/>
          <w:highlight w:val="none"/>
        </w:rPr>
        <w:t>标准</w:t>
      </w:r>
    </w:p>
    <w:p>
      <w:pPr>
        <w:tabs>
          <w:tab w:val="left" w:pos="1950"/>
        </w:tabs>
        <w:spacing w:before="120" w:line="320" w:lineRule="atLeast"/>
        <w:jc w:val="left"/>
        <w:outlineLvl w:val="1"/>
        <w:rPr>
          <w:rFonts w:hint="default" w:ascii="仿宋" w:hAnsi="仿宋" w:eastAsia="仿宋" w:cs="仿宋"/>
          <w:b w:val="0"/>
          <w:bCs w:val="0"/>
          <w:kern w:val="0"/>
          <w:sz w:val="32"/>
          <w:szCs w:val="32"/>
          <w:highlight w:val="none"/>
          <w:lang w:val="en-US" w:eastAsia="zh-CN"/>
        </w:rPr>
      </w:pPr>
      <w:r>
        <w:rPr>
          <w:rFonts w:hint="eastAsia" w:ascii="仿宋" w:hAnsi="仿宋" w:eastAsia="仿宋" w:cs="仿宋"/>
          <w:b w:val="0"/>
          <w:bCs w:val="0"/>
          <w:kern w:val="0"/>
          <w:sz w:val="32"/>
          <w:szCs w:val="32"/>
          <w:highlight w:val="none"/>
          <w:lang w:val="en-US" w:eastAsia="zh-CN"/>
        </w:rPr>
        <w:t xml:space="preserve">报价公司：                          评委姓名：  </w:t>
      </w:r>
    </w:p>
    <w:tbl>
      <w:tblPr>
        <w:tblStyle w:val="2"/>
        <w:tblW w:w="88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0"/>
        <w:gridCol w:w="711"/>
        <w:gridCol w:w="943"/>
        <w:gridCol w:w="493"/>
        <w:gridCol w:w="3316"/>
        <w:gridCol w:w="2139"/>
        <w:gridCol w:w="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0" w:type="auto"/>
            <w:noWrap w:val="0"/>
            <w:vAlign w:val="center"/>
          </w:tcPr>
          <w:p>
            <w:pPr>
              <w:jc w:val="center"/>
              <w:rPr>
                <w:b/>
                <w:szCs w:val="21"/>
                <w:highlight w:val="none"/>
              </w:rPr>
            </w:pPr>
            <w:r>
              <w:rPr>
                <w:b/>
                <w:szCs w:val="21"/>
                <w:highlight w:val="none"/>
              </w:rPr>
              <w:t>序号</w:t>
            </w:r>
          </w:p>
        </w:tc>
        <w:tc>
          <w:tcPr>
            <w:tcW w:w="0" w:type="auto"/>
            <w:gridSpan w:val="2"/>
            <w:noWrap w:val="0"/>
            <w:vAlign w:val="center"/>
          </w:tcPr>
          <w:p>
            <w:pPr>
              <w:jc w:val="center"/>
              <w:rPr>
                <w:b/>
                <w:szCs w:val="21"/>
                <w:highlight w:val="none"/>
              </w:rPr>
            </w:pPr>
            <w:r>
              <w:rPr>
                <w:b/>
                <w:szCs w:val="21"/>
                <w:highlight w:val="none"/>
              </w:rPr>
              <w:t>评标因素及分值</w:t>
            </w:r>
          </w:p>
        </w:tc>
        <w:tc>
          <w:tcPr>
            <w:tcW w:w="0" w:type="auto"/>
            <w:noWrap w:val="0"/>
            <w:vAlign w:val="center"/>
          </w:tcPr>
          <w:p>
            <w:pPr>
              <w:jc w:val="center"/>
              <w:rPr>
                <w:b/>
                <w:szCs w:val="21"/>
                <w:highlight w:val="none"/>
              </w:rPr>
            </w:pPr>
            <w:r>
              <w:rPr>
                <w:b/>
                <w:szCs w:val="21"/>
                <w:highlight w:val="none"/>
              </w:rPr>
              <w:t>分值</w:t>
            </w:r>
          </w:p>
          <w:p>
            <w:pPr>
              <w:jc w:val="center"/>
              <w:rPr>
                <w:b/>
                <w:szCs w:val="21"/>
                <w:highlight w:val="none"/>
              </w:rPr>
            </w:pPr>
            <w:r>
              <w:rPr>
                <w:b/>
                <w:szCs w:val="21"/>
                <w:highlight w:val="none"/>
              </w:rPr>
              <w:t>属性</w:t>
            </w:r>
          </w:p>
        </w:tc>
        <w:tc>
          <w:tcPr>
            <w:tcW w:w="0" w:type="auto"/>
            <w:noWrap w:val="0"/>
            <w:vAlign w:val="center"/>
          </w:tcPr>
          <w:p>
            <w:pPr>
              <w:jc w:val="center"/>
              <w:rPr>
                <w:b/>
                <w:szCs w:val="21"/>
                <w:highlight w:val="none"/>
              </w:rPr>
            </w:pPr>
            <w:r>
              <w:rPr>
                <w:b/>
                <w:szCs w:val="21"/>
                <w:highlight w:val="none"/>
              </w:rPr>
              <w:t>评标标准</w:t>
            </w:r>
          </w:p>
        </w:tc>
        <w:tc>
          <w:tcPr>
            <w:tcW w:w="0" w:type="auto"/>
            <w:noWrap w:val="0"/>
            <w:vAlign w:val="center"/>
          </w:tcPr>
          <w:p>
            <w:pPr>
              <w:jc w:val="center"/>
              <w:rPr>
                <w:b/>
                <w:szCs w:val="21"/>
                <w:highlight w:val="none"/>
              </w:rPr>
            </w:pPr>
            <w:r>
              <w:rPr>
                <w:b/>
                <w:szCs w:val="21"/>
                <w:highlight w:val="none"/>
              </w:rPr>
              <w:t>说明</w:t>
            </w:r>
          </w:p>
        </w:tc>
        <w:tc>
          <w:tcPr>
            <w:tcW w:w="794" w:type="dxa"/>
            <w:noWrap w:val="0"/>
            <w:vAlign w:val="center"/>
          </w:tcPr>
          <w:p>
            <w:pPr>
              <w:jc w:val="center"/>
              <w:rPr>
                <w:rFonts w:hint="eastAsia" w:eastAsia="宋体"/>
                <w:b/>
                <w:szCs w:val="21"/>
                <w:highlight w:val="none"/>
                <w:lang w:val="en-US" w:eastAsia="zh-CN"/>
              </w:rPr>
            </w:pPr>
            <w:r>
              <w:rPr>
                <w:rFonts w:hint="eastAsia"/>
                <w:b/>
                <w:szCs w:val="21"/>
                <w:highlight w:val="none"/>
                <w:lang w:val="en-US"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6" w:hRule="atLeast"/>
          <w:jc w:val="center"/>
        </w:trPr>
        <w:tc>
          <w:tcPr>
            <w:tcW w:w="0" w:type="auto"/>
            <w:vMerge w:val="restart"/>
            <w:noWrap w:val="0"/>
            <w:vAlign w:val="center"/>
          </w:tcPr>
          <w:p>
            <w:pPr>
              <w:jc w:val="center"/>
              <w:rPr>
                <w:szCs w:val="21"/>
                <w:highlight w:val="none"/>
              </w:rPr>
            </w:pPr>
            <w:r>
              <w:rPr>
                <w:szCs w:val="21"/>
                <w:highlight w:val="none"/>
              </w:rPr>
              <w:t>1</w:t>
            </w:r>
          </w:p>
        </w:tc>
        <w:tc>
          <w:tcPr>
            <w:tcW w:w="0" w:type="auto"/>
            <w:vMerge w:val="restart"/>
            <w:noWrap w:val="0"/>
            <w:vAlign w:val="center"/>
          </w:tcPr>
          <w:p>
            <w:pPr>
              <w:jc w:val="center"/>
              <w:rPr>
                <w:szCs w:val="21"/>
                <w:highlight w:val="none"/>
              </w:rPr>
            </w:pPr>
            <w:r>
              <w:rPr>
                <w:szCs w:val="21"/>
                <w:highlight w:val="none"/>
              </w:rPr>
              <w:t>商务部分</w:t>
            </w:r>
          </w:p>
          <w:p>
            <w:pPr>
              <w:jc w:val="center"/>
              <w:rPr>
                <w:szCs w:val="21"/>
                <w:highlight w:val="none"/>
              </w:rPr>
            </w:pPr>
            <w:r>
              <w:rPr>
                <w:szCs w:val="21"/>
                <w:highlight w:val="none"/>
              </w:rPr>
              <w:t>（</w:t>
            </w:r>
            <w:r>
              <w:rPr>
                <w:rFonts w:hint="eastAsia"/>
                <w:szCs w:val="21"/>
                <w:highlight w:val="none"/>
              </w:rPr>
              <w:t>50</w:t>
            </w:r>
            <w:r>
              <w:rPr>
                <w:szCs w:val="21"/>
                <w:highlight w:val="none"/>
              </w:rPr>
              <w:t>分）</w:t>
            </w:r>
          </w:p>
        </w:tc>
        <w:tc>
          <w:tcPr>
            <w:tcW w:w="0" w:type="auto"/>
            <w:noWrap w:val="0"/>
            <w:vAlign w:val="center"/>
          </w:tcPr>
          <w:p>
            <w:pPr>
              <w:jc w:val="center"/>
              <w:rPr>
                <w:szCs w:val="21"/>
                <w:highlight w:val="none"/>
              </w:rPr>
            </w:pPr>
            <w:r>
              <w:rPr>
                <w:rFonts w:hint="eastAsia"/>
                <w:szCs w:val="21"/>
                <w:highlight w:val="none"/>
              </w:rPr>
              <w:t>供应商基本情况</w:t>
            </w:r>
            <w:r>
              <w:rPr>
                <w:szCs w:val="21"/>
                <w:highlight w:val="none"/>
              </w:rPr>
              <w:t>（</w:t>
            </w:r>
            <w:r>
              <w:rPr>
                <w:rFonts w:hint="eastAsia"/>
                <w:szCs w:val="21"/>
                <w:highlight w:val="none"/>
              </w:rPr>
              <w:t>12</w:t>
            </w:r>
            <w:r>
              <w:rPr>
                <w:szCs w:val="21"/>
                <w:highlight w:val="none"/>
              </w:rPr>
              <w:t>分）</w:t>
            </w:r>
          </w:p>
        </w:tc>
        <w:tc>
          <w:tcPr>
            <w:tcW w:w="0" w:type="auto"/>
            <w:noWrap w:val="0"/>
            <w:vAlign w:val="center"/>
          </w:tcPr>
          <w:p>
            <w:pPr>
              <w:jc w:val="center"/>
              <w:rPr>
                <w:szCs w:val="21"/>
                <w:highlight w:val="none"/>
              </w:rPr>
            </w:pPr>
            <w:r>
              <w:rPr>
                <w:szCs w:val="21"/>
                <w:highlight w:val="none"/>
              </w:rPr>
              <w:t>客观分</w:t>
            </w:r>
          </w:p>
        </w:tc>
        <w:tc>
          <w:tcPr>
            <w:tcW w:w="0" w:type="auto"/>
            <w:gridSpan w:val="2"/>
            <w:noWrap w:val="0"/>
            <w:vAlign w:val="center"/>
          </w:tcPr>
          <w:p>
            <w:pPr>
              <w:rPr>
                <w:rFonts w:hint="eastAsia"/>
                <w:szCs w:val="21"/>
                <w:highlight w:val="none"/>
              </w:rPr>
            </w:pPr>
            <w:r>
              <w:rPr>
                <w:rFonts w:hint="eastAsia"/>
                <w:szCs w:val="21"/>
                <w:highlight w:val="none"/>
              </w:rPr>
              <w:t>1、供应商</w:t>
            </w:r>
            <w:r>
              <w:rPr>
                <w:rFonts w:hint="eastAsia"/>
                <w:szCs w:val="21"/>
                <w:highlight w:val="none"/>
                <w:lang w:val="en-US" w:eastAsia="zh-CN"/>
              </w:rPr>
              <w:t>承诺可以在2个小时内响应我单位需求并解决问题</w:t>
            </w:r>
            <w:r>
              <w:rPr>
                <w:rFonts w:hint="eastAsia"/>
                <w:szCs w:val="21"/>
                <w:highlight w:val="none"/>
              </w:rPr>
              <w:t>的</w:t>
            </w:r>
            <w:r>
              <w:rPr>
                <w:rFonts w:hint="eastAsia"/>
                <w:szCs w:val="21"/>
                <w:highlight w:val="none"/>
                <w:lang w:val="en-US" w:eastAsia="zh-CN"/>
              </w:rPr>
              <w:t>或6个小时内可以派人到达现场解决我单位需求的</w:t>
            </w:r>
            <w:r>
              <w:rPr>
                <w:rFonts w:hint="eastAsia"/>
                <w:szCs w:val="21"/>
                <w:highlight w:val="none"/>
              </w:rPr>
              <w:t>得10分</w:t>
            </w:r>
            <w:r>
              <w:rPr>
                <w:rFonts w:hint="eastAsia"/>
                <w:szCs w:val="21"/>
                <w:highlight w:val="none"/>
                <w:lang w:eastAsia="zh-CN"/>
              </w:rPr>
              <w:t>（</w:t>
            </w:r>
            <w:r>
              <w:rPr>
                <w:rFonts w:hint="eastAsia"/>
                <w:szCs w:val="21"/>
                <w:highlight w:val="none"/>
                <w:lang w:val="en-US" w:eastAsia="zh-CN"/>
              </w:rPr>
              <w:t>承诺函需要加盖公章）</w:t>
            </w:r>
            <w:r>
              <w:rPr>
                <w:rFonts w:hint="eastAsia"/>
                <w:szCs w:val="21"/>
                <w:highlight w:val="none"/>
              </w:rPr>
              <w:t>。如</w:t>
            </w:r>
            <w:r>
              <w:rPr>
                <w:rFonts w:hint="eastAsia"/>
                <w:szCs w:val="21"/>
                <w:highlight w:val="none"/>
                <w:lang w:val="en-US" w:eastAsia="zh-CN"/>
              </w:rPr>
              <w:t>最终成交供应商在服务期间</w:t>
            </w:r>
            <w:r>
              <w:rPr>
                <w:rFonts w:hint="eastAsia"/>
                <w:szCs w:val="21"/>
                <w:highlight w:val="none"/>
              </w:rPr>
              <w:t>不履行承诺的</w:t>
            </w:r>
            <w:r>
              <w:rPr>
                <w:rFonts w:hint="eastAsia" w:ascii="宋体" w:hAnsi="宋体" w:cs="宋体"/>
                <w:spacing w:val="-10"/>
                <w:highlight w:val="none"/>
              </w:rPr>
              <w:t>，</w:t>
            </w:r>
            <w:r>
              <w:rPr>
                <w:rFonts w:hint="eastAsia"/>
                <w:szCs w:val="21"/>
                <w:highlight w:val="none"/>
              </w:rPr>
              <w:t>视为虚假承诺，取消</w:t>
            </w:r>
            <w:r>
              <w:rPr>
                <w:rFonts w:hint="eastAsia"/>
                <w:szCs w:val="21"/>
                <w:highlight w:val="none"/>
                <w:lang w:val="en-US" w:eastAsia="zh-CN"/>
              </w:rPr>
              <w:t>成交</w:t>
            </w:r>
            <w:r>
              <w:rPr>
                <w:rFonts w:hint="eastAsia"/>
                <w:szCs w:val="21"/>
                <w:highlight w:val="none"/>
              </w:rPr>
              <w:t>资格，将列入失信名单。）（满分10分）</w:t>
            </w:r>
          </w:p>
          <w:p>
            <w:pPr>
              <w:rPr>
                <w:rFonts w:hint="eastAsia"/>
                <w:szCs w:val="21"/>
                <w:highlight w:val="none"/>
              </w:rPr>
            </w:pPr>
            <w:r>
              <w:rPr>
                <w:rFonts w:hint="eastAsia"/>
                <w:szCs w:val="21"/>
                <w:highlight w:val="none"/>
              </w:rPr>
              <w:t>2、从 20</w:t>
            </w:r>
            <w:r>
              <w:rPr>
                <w:rFonts w:hint="eastAsia"/>
                <w:szCs w:val="21"/>
                <w:highlight w:val="none"/>
                <w:lang w:val="en-US" w:eastAsia="zh-CN"/>
              </w:rPr>
              <w:t>21</w:t>
            </w:r>
            <w:r>
              <w:rPr>
                <w:rFonts w:hint="eastAsia"/>
                <w:szCs w:val="21"/>
                <w:highlight w:val="none"/>
              </w:rPr>
              <w:t xml:space="preserve"> 年 1 月 1 日以来，没有质量事故、安全事故，行政处罚、 </w:t>
            </w:r>
          </w:p>
          <w:p>
            <w:pPr>
              <w:rPr>
                <w:rFonts w:hint="eastAsia"/>
                <w:highlight w:val="none"/>
              </w:rPr>
            </w:pPr>
            <w:r>
              <w:rPr>
                <w:rFonts w:hint="eastAsia"/>
                <w:szCs w:val="21"/>
                <w:highlight w:val="none"/>
              </w:rPr>
              <w:t>通报批评、整改或行贿犯罪等违法违规行为的企业得 2 分；有以上情况的企业，本项不得分。以相关行政管理部门的行政处罚文书或检查通报情况作为扣分依据。[</w:t>
            </w:r>
            <w:r>
              <w:rPr>
                <w:rFonts w:hint="eastAsia"/>
                <w:szCs w:val="21"/>
                <w:highlight w:val="none"/>
                <w:lang w:eastAsia="zh-CN"/>
              </w:rPr>
              <w:t>成交</w:t>
            </w:r>
            <w:r>
              <w:rPr>
                <w:rFonts w:hint="eastAsia"/>
                <w:szCs w:val="21"/>
                <w:highlight w:val="none"/>
              </w:rPr>
              <w:t>人在</w:t>
            </w:r>
            <w:r>
              <w:rPr>
                <w:rFonts w:hint="eastAsia"/>
                <w:szCs w:val="21"/>
                <w:highlight w:val="none"/>
                <w:lang w:eastAsia="zh-CN"/>
              </w:rPr>
              <w:t>响应</w:t>
            </w:r>
            <w:r>
              <w:rPr>
                <w:rFonts w:hint="eastAsia"/>
                <w:szCs w:val="21"/>
                <w:highlight w:val="none"/>
              </w:rPr>
              <w:t>文件中提供承诺（格式自拟）。</w:t>
            </w:r>
            <w:r>
              <w:rPr>
                <w:rFonts w:hint="eastAsia"/>
                <w:szCs w:val="21"/>
                <w:highlight w:val="none"/>
                <w:lang w:eastAsia="zh-CN"/>
              </w:rPr>
              <w:t>成交</w:t>
            </w:r>
            <w:r>
              <w:rPr>
                <w:rFonts w:hint="eastAsia"/>
                <w:szCs w:val="21"/>
                <w:highlight w:val="none"/>
              </w:rPr>
              <w:t>后如发现供应商承诺不属实，视为虚假承诺，取消</w:t>
            </w:r>
            <w:r>
              <w:rPr>
                <w:rFonts w:hint="eastAsia"/>
                <w:szCs w:val="21"/>
                <w:highlight w:val="none"/>
                <w:lang w:eastAsia="zh-CN"/>
              </w:rPr>
              <w:t>成交</w:t>
            </w:r>
            <w:r>
              <w:rPr>
                <w:rFonts w:hint="eastAsia"/>
                <w:szCs w:val="21"/>
                <w:highlight w:val="none"/>
              </w:rPr>
              <w:t xml:space="preserve">资格；如没有作出承诺的，本项不得分]。（满分 2 分） </w:t>
            </w:r>
          </w:p>
        </w:tc>
        <w:tc>
          <w:tcPr>
            <w:tcW w:w="794" w:type="dxa"/>
            <w:noWrap w:val="0"/>
            <w:vAlign w:val="center"/>
          </w:tcPr>
          <w:p>
            <w:pPr>
              <w:rPr>
                <w:rFonts w:hint="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09" w:hRule="atLeast"/>
          <w:jc w:val="center"/>
        </w:trPr>
        <w:tc>
          <w:tcPr>
            <w:tcW w:w="0" w:type="auto"/>
            <w:vMerge w:val="continue"/>
            <w:noWrap w:val="0"/>
            <w:vAlign w:val="center"/>
          </w:tcPr>
          <w:p>
            <w:pPr>
              <w:rPr>
                <w:highlight w:val="none"/>
              </w:rPr>
            </w:pPr>
          </w:p>
        </w:tc>
        <w:tc>
          <w:tcPr>
            <w:tcW w:w="0" w:type="auto"/>
            <w:vMerge w:val="continue"/>
            <w:noWrap w:val="0"/>
            <w:vAlign w:val="center"/>
          </w:tcPr>
          <w:p>
            <w:pPr>
              <w:rPr>
                <w:highlight w:val="none"/>
              </w:rPr>
            </w:pPr>
          </w:p>
        </w:tc>
        <w:tc>
          <w:tcPr>
            <w:tcW w:w="0" w:type="auto"/>
            <w:noWrap w:val="0"/>
            <w:vAlign w:val="center"/>
          </w:tcPr>
          <w:p>
            <w:pPr>
              <w:rPr>
                <w:szCs w:val="21"/>
                <w:highlight w:val="none"/>
              </w:rPr>
            </w:pPr>
            <w:r>
              <w:rPr>
                <w:rFonts w:hint="eastAsia"/>
                <w:szCs w:val="21"/>
                <w:highlight w:val="none"/>
              </w:rPr>
              <w:t>拟投入人员素质</w:t>
            </w:r>
            <w:r>
              <w:rPr>
                <w:szCs w:val="21"/>
                <w:highlight w:val="none"/>
              </w:rPr>
              <w:t>（</w:t>
            </w:r>
            <w:r>
              <w:rPr>
                <w:rFonts w:hint="eastAsia"/>
                <w:szCs w:val="21"/>
                <w:highlight w:val="none"/>
              </w:rPr>
              <w:t>20</w:t>
            </w:r>
            <w:r>
              <w:rPr>
                <w:szCs w:val="21"/>
                <w:highlight w:val="none"/>
              </w:rPr>
              <w:t>分）</w:t>
            </w:r>
          </w:p>
        </w:tc>
        <w:tc>
          <w:tcPr>
            <w:tcW w:w="0" w:type="auto"/>
            <w:noWrap w:val="0"/>
            <w:vAlign w:val="center"/>
          </w:tcPr>
          <w:p>
            <w:pPr>
              <w:rPr>
                <w:szCs w:val="21"/>
                <w:highlight w:val="none"/>
              </w:rPr>
            </w:pPr>
            <w:r>
              <w:rPr>
                <w:szCs w:val="21"/>
                <w:highlight w:val="none"/>
              </w:rPr>
              <w:t>客观分</w:t>
            </w:r>
          </w:p>
        </w:tc>
        <w:tc>
          <w:tcPr>
            <w:tcW w:w="0" w:type="auto"/>
            <w:gridSpan w:val="2"/>
            <w:noWrap w:val="0"/>
            <w:vAlign w:val="center"/>
          </w:tcPr>
          <w:p>
            <w:pPr>
              <w:rPr>
                <w:rFonts w:hint="eastAsia"/>
                <w:szCs w:val="21"/>
                <w:highlight w:val="none"/>
              </w:rPr>
            </w:pPr>
            <w:r>
              <w:rPr>
                <w:rFonts w:hint="eastAsia"/>
                <w:b/>
                <w:bCs/>
                <w:szCs w:val="21"/>
                <w:highlight w:val="none"/>
              </w:rPr>
              <w:t>1</w:t>
            </w:r>
            <w:r>
              <w:rPr>
                <w:rFonts w:hint="eastAsia"/>
                <w:szCs w:val="21"/>
                <w:highlight w:val="none"/>
              </w:rPr>
              <w:t>、拟投入人员专业及职称（20分）</w:t>
            </w:r>
          </w:p>
          <w:p>
            <w:pPr>
              <w:rPr>
                <w:rFonts w:hint="eastAsia"/>
                <w:szCs w:val="21"/>
                <w:highlight w:val="none"/>
              </w:rPr>
            </w:pPr>
            <w:r>
              <w:rPr>
                <w:rFonts w:hint="eastAsia"/>
                <w:szCs w:val="21"/>
                <w:highlight w:val="none"/>
              </w:rPr>
              <w:t>（1）</w:t>
            </w:r>
            <w:r>
              <w:rPr>
                <w:rFonts w:hint="eastAsia"/>
                <w:szCs w:val="21"/>
                <w:highlight w:val="none"/>
                <w:lang w:eastAsia="zh-CN"/>
              </w:rPr>
              <w:t>响应</w:t>
            </w:r>
            <w:r>
              <w:rPr>
                <w:rFonts w:hint="eastAsia"/>
                <w:szCs w:val="21"/>
                <w:highlight w:val="none"/>
              </w:rPr>
              <w:t>人拟投入的人员，</w:t>
            </w:r>
            <w:r>
              <w:rPr>
                <w:rFonts w:hint="eastAsia"/>
                <w:szCs w:val="21"/>
                <w:highlight w:val="none"/>
                <w:lang w:val="en-US" w:eastAsia="zh-CN"/>
              </w:rPr>
              <w:t>每</w:t>
            </w:r>
            <w:r>
              <w:rPr>
                <w:rFonts w:hint="eastAsia"/>
                <w:szCs w:val="21"/>
                <w:highlight w:val="none"/>
              </w:rPr>
              <w:t>有</w:t>
            </w:r>
            <w:r>
              <w:rPr>
                <w:rFonts w:hint="eastAsia"/>
                <w:szCs w:val="21"/>
                <w:highlight w:val="none"/>
                <w:lang w:val="en-US" w:eastAsia="zh-CN"/>
              </w:rPr>
              <w:t>1</w:t>
            </w:r>
            <w:r>
              <w:rPr>
                <w:rFonts w:hint="eastAsia"/>
                <w:szCs w:val="21"/>
                <w:highlight w:val="none"/>
              </w:rPr>
              <w:t>名</w:t>
            </w:r>
            <w:r>
              <w:rPr>
                <w:rFonts w:hint="eastAsia"/>
                <w:szCs w:val="21"/>
                <w:highlight w:val="none"/>
                <w:lang w:val="en-US" w:eastAsia="zh-CN"/>
              </w:rPr>
              <w:t>二级</w:t>
            </w:r>
            <w:r>
              <w:rPr>
                <w:rFonts w:hint="eastAsia"/>
                <w:szCs w:val="21"/>
                <w:highlight w:val="none"/>
              </w:rPr>
              <w:t>级注册造价工程师证书的人员得2分,此项满分</w:t>
            </w:r>
            <w:r>
              <w:rPr>
                <w:rFonts w:hint="eastAsia"/>
                <w:szCs w:val="21"/>
                <w:highlight w:val="none"/>
                <w:lang w:val="en-US" w:eastAsia="zh-CN"/>
              </w:rPr>
              <w:t>10</w:t>
            </w:r>
            <w:r>
              <w:rPr>
                <w:rFonts w:hint="eastAsia"/>
                <w:szCs w:val="21"/>
                <w:highlight w:val="none"/>
              </w:rPr>
              <w:t xml:space="preserve">分。 </w:t>
            </w:r>
          </w:p>
          <w:p>
            <w:pPr>
              <w:rPr>
                <w:rFonts w:hint="eastAsia"/>
                <w:szCs w:val="21"/>
                <w:highlight w:val="none"/>
              </w:rPr>
            </w:pPr>
            <w:r>
              <w:rPr>
                <w:rFonts w:hint="eastAsia"/>
                <w:szCs w:val="21"/>
                <w:highlight w:val="none"/>
              </w:rPr>
              <w:t>（2）</w:t>
            </w:r>
            <w:r>
              <w:rPr>
                <w:rFonts w:hint="eastAsia"/>
                <w:szCs w:val="21"/>
                <w:highlight w:val="none"/>
                <w:lang w:eastAsia="zh-CN"/>
              </w:rPr>
              <w:t>响应</w:t>
            </w:r>
            <w:r>
              <w:rPr>
                <w:rFonts w:hint="eastAsia"/>
                <w:szCs w:val="21"/>
                <w:highlight w:val="none"/>
              </w:rPr>
              <w:t>人拟投入的人员中，获得</w:t>
            </w:r>
            <w:r>
              <w:rPr>
                <w:rFonts w:hint="eastAsia"/>
                <w:szCs w:val="21"/>
                <w:highlight w:val="none"/>
                <w:lang w:val="en-US" w:eastAsia="zh-CN"/>
              </w:rPr>
              <w:t>高</w:t>
            </w:r>
            <w:r>
              <w:rPr>
                <w:rFonts w:hint="eastAsia"/>
                <w:szCs w:val="21"/>
                <w:highlight w:val="none"/>
              </w:rPr>
              <w:t>级工程师职称的，每人得</w:t>
            </w:r>
            <w:r>
              <w:rPr>
                <w:rFonts w:hint="eastAsia"/>
                <w:szCs w:val="21"/>
                <w:highlight w:val="none"/>
                <w:lang w:val="en-US" w:eastAsia="zh-CN"/>
              </w:rPr>
              <w:t>4</w:t>
            </w:r>
            <w:r>
              <w:rPr>
                <w:rFonts w:hint="eastAsia"/>
                <w:szCs w:val="21"/>
                <w:highlight w:val="none"/>
              </w:rPr>
              <w:t>分</w:t>
            </w:r>
            <w:r>
              <w:rPr>
                <w:rFonts w:hint="eastAsia"/>
                <w:szCs w:val="21"/>
                <w:highlight w:val="none"/>
                <w:lang w:eastAsia="zh-CN"/>
              </w:rPr>
              <w:t>，</w:t>
            </w:r>
            <w:r>
              <w:rPr>
                <w:rFonts w:hint="eastAsia"/>
                <w:szCs w:val="21"/>
                <w:highlight w:val="none"/>
              </w:rPr>
              <w:t>获得</w:t>
            </w:r>
            <w:r>
              <w:rPr>
                <w:rFonts w:hint="eastAsia"/>
                <w:szCs w:val="21"/>
                <w:highlight w:val="none"/>
                <w:lang w:val="en-US" w:eastAsia="zh-CN"/>
              </w:rPr>
              <w:t>中</w:t>
            </w:r>
            <w:r>
              <w:rPr>
                <w:rFonts w:hint="eastAsia"/>
                <w:szCs w:val="21"/>
                <w:highlight w:val="none"/>
              </w:rPr>
              <w:t>级工程师职称的，每人得2分</w:t>
            </w:r>
            <w:r>
              <w:rPr>
                <w:rFonts w:hint="eastAsia"/>
                <w:szCs w:val="21"/>
                <w:highlight w:val="none"/>
                <w:lang w:eastAsia="zh-CN"/>
              </w:rPr>
              <w:t>，</w:t>
            </w:r>
            <w:r>
              <w:rPr>
                <w:rFonts w:hint="eastAsia"/>
                <w:szCs w:val="21"/>
                <w:highlight w:val="none"/>
                <w:lang w:val="en-US" w:eastAsia="zh-CN"/>
              </w:rPr>
              <w:t>此</w:t>
            </w:r>
            <w:r>
              <w:rPr>
                <w:rFonts w:hint="eastAsia"/>
                <w:szCs w:val="21"/>
                <w:highlight w:val="none"/>
              </w:rPr>
              <w:t>项满分1</w:t>
            </w:r>
            <w:r>
              <w:rPr>
                <w:rFonts w:hint="eastAsia"/>
                <w:szCs w:val="21"/>
                <w:highlight w:val="none"/>
                <w:lang w:val="en-US" w:eastAsia="zh-CN"/>
              </w:rPr>
              <w:t>0</w:t>
            </w:r>
            <w:r>
              <w:rPr>
                <w:rFonts w:hint="eastAsia"/>
                <w:szCs w:val="21"/>
                <w:highlight w:val="none"/>
              </w:rPr>
              <w:t>分。</w:t>
            </w:r>
          </w:p>
          <w:p>
            <w:pPr>
              <w:rPr>
                <w:szCs w:val="21"/>
                <w:highlight w:val="none"/>
              </w:rPr>
            </w:pPr>
            <w:r>
              <w:rPr>
                <w:rFonts w:hint="eastAsia"/>
                <w:szCs w:val="21"/>
                <w:highlight w:val="none"/>
              </w:rPr>
              <w:t>备注：以上人员须提供相关证书，承诺能投入桂平市本地开展业务，否则不得分。</w:t>
            </w:r>
          </w:p>
        </w:tc>
        <w:tc>
          <w:tcPr>
            <w:tcW w:w="794" w:type="dxa"/>
            <w:noWrap w:val="0"/>
            <w:vAlign w:val="center"/>
          </w:tcPr>
          <w:p>
            <w:pPr>
              <w:rPr>
                <w:rFonts w:hint="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0" w:type="auto"/>
            <w:vMerge w:val="continue"/>
            <w:noWrap w:val="0"/>
            <w:vAlign w:val="center"/>
          </w:tcPr>
          <w:p>
            <w:pPr>
              <w:rPr>
                <w:highlight w:val="none"/>
              </w:rPr>
            </w:pPr>
          </w:p>
        </w:tc>
        <w:tc>
          <w:tcPr>
            <w:tcW w:w="0" w:type="auto"/>
            <w:vMerge w:val="continue"/>
            <w:noWrap w:val="0"/>
            <w:vAlign w:val="center"/>
          </w:tcPr>
          <w:p>
            <w:pPr>
              <w:rPr>
                <w:highlight w:val="none"/>
              </w:rPr>
            </w:pPr>
          </w:p>
        </w:tc>
        <w:tc>
          <w:tcPr>
            <w:tcW w:w="0" w:type="auto"/>
            <w:noWrap w:val="0"/>
            <w:vAlign w:val="center"/>
          </w:tcPr>
          <w:p>
            <w:pPr>
              <w:rPr>
                <w:rFonts w:hint="eastAsia" w:eastAsia="Calibri"/>
                <w:szCs w:val="21"/>
                <w:highlight w:val="none"/>
              </w:rPr>
            </w:pPr>
            <w:r>
              <w:rPr>
                <w:rFonts w:hint="eastAsia"/>
                <w:szCs w:val="21"/>
                <w:highlight w:val="none"/>
              </w:rPr>
              <w:t>业绩分（18分）</w:t>
            </w:r>
          </w:p>
        </w:tc>
        <w:tc>
          <w:tcPr>
            <w:tcW w:w="0" w:type="auto"/>
            <w:noWrap w:val="0"/>
            <w:vAlign w:val="center"/>
          </w:tcPr>
          <w:p>
            <w:pPr>
              <w:rPr>
                <w:rFonts w:hint="eastAsia"/>
                <w:szCs w:val="21"/>
                <w:highlight w:val="none"/>
              </w:rPr>
            </w:pPr>
            <w:r>
              <w:rPr>
                <w:szCs w:val="21"/>
                <w:highlight w:val="none"/>
              </w:rPr>
              <w:t>客观分</w:t>
            </w:r>
          </w:p>
        </w:tc>
        <w:tc>
          <w:tcPr>
            <w:tcW w:w="0" w:type="auto"/>
            <w:gridSpan w:val="2"/>
            <w:noWrap w:val="0"/>
            <w:vAlign w:val="center"/>
          </w:tcPr>
          <w:p>
            <w:pPr>
              <w:rPr>
                <w:rFonts w:hint="eastAsia"/>
                <w:szCs w:val="21"/>
                <w:highlight w:val="none"/>
              </w:rPr>
            </w:pPr>
            <w:r>
              <w:rPr>
                <w:rFonts w:hint="eastAsia"/>
                <w:szCs w:val="21"/>
                <w:highlight w:val="none"/>
              </w:rPr>
              <w:t>考核期内（20</w:t>
            </w:r>
            <w:r>
              <w:rPr>
                <w:rFonts w:hint="eastAsia"/>
                <w:szCs w:val="21"/>
                <w:highlight w:val="none"/>
                <w:lang w:val="en-US" w:eastAsia="zh-CN"/>
              </w:rPr>
              <w:t>21</w:t>
            </w:r>
            <w:r>
              <w:rPr>
                <w:rFonts w:hint="eastAsia"/>
                <w:szCs w:val="21"/>
                <w:highlight w:val="none"/>
              </w:rPr>
              <w:t>年</w:t>
            </w:r>
            <w:r>
              <w:rPr>
                <w:rFonts w:hint="eastAsia"/>
                <w:szCs w:val="21"/>
                <w:highlight w:val="none"/>
                <w:lang w:val="en-US" w:eastAsia="zh-CN"/>
              </w:rPr>
              <w:t>4</w:t>
            </w:r>
            <w:r>
              <w:rPr>
                <w:rFonts w:hint="eastAsia"/>
                <w:szCs w:val="21"/>
                <w:highlight w:val="none"/>
              </w:rPr>
              <w:t>月1日至202</w:t>
            </w:r>
            <w:r>
              <w:rPr>
                <w:rFonts w:hint="eastAsia"/>
                <w:szCs w:val="21"/>
                <w:highlight w:val="none"/>
                <w:lang w:val="en-US" w:eastAsia="zh-CN"/>
              </w:rPr>
              <w:t>4</w:t>
            </w:r>
            <w:r>
              <w:rPr>
                <w:rFonts w:hint="eastAsia"/>
                <w:szCs w:val="21"/>
                <w:highlight w:val="none"/>
              </w:rPr>
              <w:t>年</w:t>
            </w:r>
            <w:r>
              <w:rPr>
                <w:rFonts w:hint="eastAsia"/>
                <w:szCs w:val="21"/>
                <w:highlight w:val="none"/>
                <w:lang w:val="en-US" w:eastAsia="zh-CN"/>
              </w:rPr>
              <w:t>4</w:t>
            </w:r>
            <w:r>
              <w:rPr>
                <w:rFonts w:hint="eastAsia"/>
                <w:szCs w:val="21"/>
                <w:highlight w:val="none"/>
              </w:rPr>
              <w:t>月</w:t>
            </w:r>
            <w:r>
              <w:rPr>
                <w:rFonts w:hint="eastAsia"/>
                <w:szCs w:val="21"/>
                <w:highlight w:val="none"/>
                <w:lang w:val="en-US" w:eastAsia="zh-CN"/>
              </w:rPr>
              <w:t>1</w:t>
            </w:r>
            <w:r>
              <w:rPr>
                <w:rFonts w:hint="eastAsia"/>
                <w:szCs w:val="21"/>
                <w:highlight w:val="none"/>
              </w:rPr>
              <w:t>日），</w:t>
            </w:r>
            <w:r>
              <w:rPr>
                <w:rFonts w:hint="eastAsia" w:ascii="宋体" w:hAnsi="宋体" w:cs="宋体"/>
                <w:spacing w:val="-4"/>
                <w:highlight w:val="none"/>
                <w:lang w:val="en-US" w:eastAsia="zh-CN"/>
              </w:rPr>
              <w:t>提供同类</w:t>
            </w:r>
            <w:r>
              <w:rPr>
                <w:rFonts w:hint="eastAsia" w:ascii="宋体" w:hAnsi="宋体" w:cs="宋体"/>
                <w:spacing w:val="-4"/>
                <w:highlight w:val="none"/>
              </w:rPr>
              <w:t>工程项目业绩的，</w:t>
            </w:r>
            <w:r>
              <w:rPr>
                <w:rFonts w:hint="eastAsia"/>
                <w:szCs w:val="21"/>
                <w:highlight w:val="none"/>
              </w:rPr>
              <w:t>每个得</w:t>
            </w:r>
            <w:r>
              <w:rPr>
                <w:rFonts w:hint="eastAsia"/>
                <w:szCs w:val="21"/>
                <w:highlight w:val="none"/>
                <w:lang w:val="en-US" w:eastAsia="zh-CN"/>
              </w:rPr>
              <w:t>3</w:t>
            </w:r>
            <w:r>
              <w:rPr>
                <w:rFonts w:hint="eastAsia"/>
                <w:szCs w:val="21"/>
                <w:highlight w:val="none"/>
              </w:rPr>
              <w:t>分。此项满分18分。</w:t>
            </w:r>
          </w:p>
          <w:p>
            <w:pPr>
              <w:rPr>
                <w:rFonts w:hint="eastAsia"/>
                <w:szCs w:val="21"/>
                <w:highlight w:val="none"/>
              </w:rPr>
            </w:pPr>
            <w:r>
              <w:rPr>
                <w:rFonts w:hint="eastAsia" w:ascii="宋体" w:hAnsi="宋体" w:cs="宋体"/>
                <w:szCs w:val="21"/>
                <w:highlight w:val="none"/>
              </w:rPr>
              <w:t>备注:以上业绩须提供</w:t>
            </w:r>
            <w:r>
              <w:rPr>
                <w:rFonts w:hint="eastAsia" w:ascii="宋体" w:hAnsi="宋体" w:cs="宋体"/>
                <w:szCs w:val="21"/>
                <w:highlight w:val="none"/>
                <w:lang w:val="en-US" w:eastAsia="zh-CN"/>
              </w:rPr>
              <w:t>成交</w:t>
            </w:r>
            <w:r>
              <w:rPr>
                <w:rFonts w:hint="eastAsia"/>
                <w:szCs w:val="21"/>
                <w:highlight w:val="none"/>
              </w:rPr>
              <w:t>合同以及</w:t>
            </w:r>
            <w:r>
              <w:rPr>
                <w:rFonts w:hint="eastAsia"/>
                <w:szCs w:val="21"/>
                <w:highlight w:val="none"/>
                <w:lang w:val="en-US" w:eastAsia="zh-CN"/>
              </w:rPr>
              <w:t>成交（成交）通知书</w:t>
            </w:r>
            <w:r>
              <w:rPr>
                <w:rFonts w:hint="eastAsia"/>
                <w:szCs w:val="21"/>
                <w:highlight w:val="none"/>
              </w:rPr>
              <w:t>，否则不得分。</w:t>
            </w:r>
          </w:p>
        </w:tc>
        <w:tc>
          <w:tcPr>
            <w:tcW w:w="794" w:type="dxa"/>
            <w:noWrap w:val="0"/>
            <w:vAlign w:val="center"/>
          </w:tcPr>
          <w:p>
            <w:pPr>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93" w:hRule="atLeast"/>
          <w:jc w:val="center"/>
        </w:trPr>
        <w:tc>
          <w:tcPr>
            <w:tcW w:w="0" w:type="auto"/>
            <w:vMerge w:val="restart"/>
            <w:noWrap w:val="0"/>
            <w:vAlign w:val="center"/>
          </w:tcPr>
          <w:p>
            <w:pPr>
              <w:jc w:val="center"/>
              <w:rPr>
                <w:rFonts w:hint="eastAsia"/>
                <w:szCs w:val="21"/>
                <w:highlight w:val="none"/>
              </w:rPr>
            </w:pPr>
            <w:r>
              <w:rPr>
                <w:rFonts w:hint="eastAsia"/>
                <w:szCs w:val="21"/>
                <w:highlight w:val="none"/>
              </w:rPr>
              <w:t>2</w:t>
            </w:r>
          </w:p>
        </w:tc>
        <w:tc>
          <w:tcPr>
            <w:tcW w:w="0" w:type="auto"/>
            <w:vMerge w:val="restart"/>
            <w:noWrap w:val="0"/>
            <w:vAlign w:val="center"/>
          </w:tcPr>
          <w:p>
            <w:pPr>
              <w:jc w:val="center"/>
              <w:rPr>
                <w:szCs w:val="21"/>
                <w:highlight w:val="none"/>
              </w:rPr>
            </w:pPr>
            <w:r>
              <w:rPr>
                <w:szCs w:val="21"/>
                <w:highlight w:val="none"/>
              </w:rPr>
              <w:t>技术部分</w:t>
            </w:r>
          </w:p>
          <w:p>
            <w:pPr>
              <w:jc w:val="center"/>
              <w:rPr>
                <w:rFonts w:hint="eastAsia"/>
                <w:szCs w:val="21"/>
                <w:highlight w:val="none"/>
              </w:rPr>
            </w:pPr>
            <w:r>
              <w:rPr>
                <w:szCs w:val="21"/>
                <w:highlight w:val="none"/>
              </w:rPr>
              <w:t>（</w:t>
            </w:r>
            <w:r>
              <w:rPr>
                <w:rFonts w:hint="eastAsia"/>
                <w:szCs w:val="21"/>
                <w:highlight w:val="none"/>
              </w:rPr>
              <w:t>50</w:t>
            </w:r>
            <w:r>
              <w:rPr>
                <w:szCs w:val="21"/>
                <w:highlight w:val="none"/>
              </w:rPr>
              <w:t>分）</w:t>
            </w:r>
          </w:p>
        </w:tc>
        <w:tc>
          <w:tcPr>
            <w:tcW w:w="0" w:type="auto"/>
            <w:noWrap w:val="0"/>
            <w:vAlign w:val="center"/>
          </w:tcPr>
          <w:p>
            <w:pPr>
              <w:jc w:val="center"/>
              <w:rPr>
                <w:szCs w:val="21"/>
                <w:highlight w:val="none"/>
              </w:rPr>
            </w:pPr>
            <w:r>
              <w:rPr>
                <w:szCs w:val="21"/>
                <w:highlight w:val="none"/>
              </w:rPr>
              <w:t>服务方案分（20分）</w:t>
            </w:r>
          </w:p>
        </w:tc>
        <w:tc>
          <w:tcPr>
            <w:tcW w:w="0" w:type="auto"/>
            <w:noWrap w:val="0"/>
            <w:vAlign w:val="center"/>
          </w:tcPr>
          <w:p>
            <w:pPr>
              <w:rPr>
                <w:rFonts w:hint="eastAsia"/>
                <w:szCs w:val="21"/>
                <w:highlight w:val="none"/>
              </w:rPr>
            </w:pPr>
            <w:r>
              <w:rPr>
                <w:rFonts w:hint="eastAsia"/>
                <w:szCs w:val="21"/>
                <w:highlight w:val="none"/>
              </w:rPr>
              <w:t>主观分</w:t>
            </w:r>
          </w:p>
        </w:tc>
        <w:tc>
          <w:tcPr>
            <w:tcW w:w="0" w:type="auto"/>
            <w:gridSpan w:val="2"/>
            <w:noWrap w:val="0"/>
            <w:vAlign w:val="center"/>
          </w:tcPr>
          <w:p>
            <w:pPr>
              <w:rPr>
                <w:szCs w:val="21"/>
                <w:highlight w:val="none"/>
              </w:rPr>
            </w:pPr>
            <w:r>
              <w:rPr>
                <w:szCs w:val="21"/>
                <w:highlight w:val="none"/>
              </w:rPr>
              <w:t>一档（</w:t>
            </w:r>
            <w:r>
              <w:rPr>
                <w:rFonts w:hint="eastAsia"/>
                <w:szCs w:val="21"/>
                <w:highlight w:val="none"/>
              </w:rPr>
              <w:t>5</w:t>
            </w:r>
            <w:r>
              <w:rPr>
                <w:szCs w:val="21"/>
                <w:highlight w:val="none"/>
              </w:rPr>
              <w:t>分）：服务方案</w:t>
            </w:r>
            <w:r>
              <w:rPr>
                <w:rFonts w:hint="eastAsia"/>
                <w:highlight w:val="none"/>
              </w:rPr>
              <w:t>逻辑混乱、可操作性弱</w:t>
            </w:r>
            <w:r>
              <w:rPr>
                <w:rFonts w:hint="eastAsia"/>
                <w:szCs w:val="21"/>
                <w:highlight w:val="none"/>
              </w:rPr>
              <w:t>；</w:t>
            </w:r>
            <w:r>
              <w:rPr>
                <w:szCs w:val="21"/>
                <w:highlight w:val="none"/>
              </w:rPr>
              <w:t>有服务承诺以及</w:t>
            </w:r>
            <w:r>
              <w:rPr>
                <w:rFonts w:hint="eastAsia"/>
                <w:szCs w:val="21"/>
                <w:highlight w:val="none"/>
              </w:rPr>
              <w:t>评审</w:t>
            </w:r>
            <w:r>
              <w:rPr>
                <w:szCs w:val="21"/>
                <w:highlight w:val="none"/>
              </w:rPr>
              <w:t>项目审核时间控制措施、审核质量的保证措施。</w:t>
            </w:r>
          </w:p>
          <w:p>
            <w:pPr>
              <w:rPr>
                <w:szCs w:val="21"/>
                <w:highlight w:val="none"/>
              </w:rPr>
            </w:pPr>
            <w:r>
              <w:rPr>
                <w:szCs w:val="21"/>
                <w:highlight w:val="none"/>
              </w:rPr>
              <w:t>二档（</w:t>
            </w:r>
            <w:r>
              <w:rPr>
                <w:rFonts w:hint="eastAsia"/>
                <w:szCs w:val="21"/>
                <w:highlight w:val="none"/>
              </w:rPr>
              <w:t>10</w:t>
            </w:r>
            <w:r>
              <w:rPr>
                <w:szCs w:val="21"/>
                <w:highlight w:val="none"/>
              </w:rPr>
              <w:t>分）：服务方案</w:t>
            </w:r>
            <w:r>
              <w:rPr>
                <w:rFonts w:hint="eastAsia"/>
                <w:highlight w:val="none"/>
              </w:rPr>
              <w:t>一般、逻辑性一般、可操作性一般</w:t>
            </w:r>
            <w:r>
              <w:rPr>
                <w:rFonts w:hint="eastAsia"/>
                <w:szCs w:val="21"/>
                <w:highlight w:val="none"/>
              </w:rPr>
              <w:t>；</w:t>
            </w:r>
            <w:r>
              <w:rPr>
                <w:szCs w:val="21"/>
                <w:highlight w:val="none"/>
              </w:rPr>
              <w:t>有服务承诺以及</w:t>
            </w:r>
            <w:r>
              <w:rPr>
                <w:rFonts w:hint="eastAsia"/>
                <w:szCs w:val="21"/>
                <w:highlight w:val="none"/>
              </w:rPr>
              <w:t>评审</w:t>
            </w:r>
            <w:r>
              <w:rPr>
                <w:szCs w:val="21"/>
                <w:highlight w:val="none"/>
              </w:rPr>
              <w:t>项目审核时间控制措施、审核质量的保证措施</w:t>
            </w:r>
            <w:r>
              <w:rPr>
                <w:rFonts w:hint="eastAsia"/>
                <w:szCs w:val="21"/>
                <w:highlight w:val="none"/>
              </w:rPr>
              <w:t>，措施一般，可操作性差</w:t>
            </w:r>
            <w:r>
              <w:rPr>
                <w:szCs w:val="21"/>
                <w:highlight w:val="none"/>
              </w:rPr>
              <w:t>。</w:t>
            </w:r>
          </w:p>
          <w:p>
            <w:pPr>
              <w:rPr>
                <w:szCs w:val="21"/>
                <w:highlight w:val="none"/>
              </w:rPr>
            </w:pPr>
            <w:r>
              <w:rPr>
                <w:rFonts w:hint="eastAsia"/>
                <w:szCs w:val="21"/>
                <w:highlight w:val="none"/>
              </w:rPr>
              <w:t>三</w:t>
            </w:r>
            <w:r>
              <w:rPr>
                <w:szCs w:val="21"/>
                <w:highlight w:val="none"/>
              </w:rPr>
              <w:t>档（1</w:t>
            </w:r>
            <w:r>
              <w:rPr>
                <w:rFonts w:hint="eastAsia"/>
                <w:szCs w:val="21"/>
                <w:highlight w:val="none"/>
              </w:rPr>
              <w:t>5</w:t>
            </w:r>
            <w:r>
              <w:rPr>
                <w:szCs w:val="21"/>
                <w:highlight w:val="none"/>
              </w:rPr>
              <w:t>分）：服务方案较完善，</w:t>
            </w:r>
            <w:r>
              <w:rPr>
                <w:rFonts w:hint="eastAsia"/>
                <w:highlight w:val="none"/>
              </w:rPr>
              <w:t>逻辑性一般、可操作性一般；</w:t>
            </w:r>
            <w:r>
              <w:rPr>
                <w:szCs w:val="21"/>
                <w:highlight w:val="none"/>
              </w:rPr>
              <w:t>有可行的服务承诺、</w:t>
            </w:r>
            <w:r>
              <w:rPr>
                <w:rFonts w:hint="eastAsia"/>
                <w:szCs w:val="21"/>
                <w:highlight w:val="none"/>
              </w:rPr>
              <w:t>评审</w:t>
            </w:r>
            <w:r>
              <w:rPr>
                <w:szCs w:val="21"/>
                <w:highlight w:val="none"/>
              </w:rPr>
              <w:t>审核时间控制措施和审核质量保证措施</w:t>
            </w:r>
            <w:r>
              <w:rPr>
                <w:rFonts w:hint="eastAsia"/>
                <w:szCs w:val="21"/>
                <w:highlight w:val="none"/>
              </w:rPr>
              <w:t>，措施较好，可操作性良好</w:t>
            </w:r>
            <w:r>
              <w:rPr>
                <w:szCs w:val="21"/>
                <w:highlight w:val="none"/>
              </w:rPr>
              <w:t>。</w:t>
            </w:r>
          </w:p>
          <w:p>
            <w:pPr>
              <w:rPr>
                <w:szCs w:val="21"/>
                <w:highlight w:val="none"/>
              </w:rPr>
            </w:pPr>
            <w:r>
              <w:rPr>
                <w:rFonts w:hint="eastAsia"/>
                <w:szCs w:val="21"/>
                <w:highlight w:val="none"/>
              </w:rPr>
              <w:t>四</w:t>
            </w:r>
            <w:r>
              <w:rPr>
                <w:szCs w:val="21"/>
                <w:highlight w:val="none"/>
              </w:rPr>
              <w:t>档（20分）：服务方案完善且具体细化，</w:t>
            </w:r>
            <w:r>
              <w:rPr>
                <w:rFonts w:hint="eastAsia"/>
                <w:highlight w:val="none"/>
              </w:rPr>
              <w:t>逻辑性强、可操作性高；</w:t>
            </w:r>
            <w:r>
              <w:rPr>
                <w:szCs w:val="21"/>
                <w:highlight w:val="none"/>
              </w:rPr>
              <w:t>为</w:t>
            </w:r>
            <w:r>
              <w:rPr>
                <w:rFonts w:hint="eastAsia"/>
                <w:szCs w:val="21"/>
                <w:highlight w:val="none"/>
              </w:rPr>
              <w:t>招标人</w:t>
            </w:r>
            <w:r>
              <w:rPr>
                <w:szCs w:val="21"/>
                <w:highlight w:val="none"/>
              </w:rPr>
              <w:t>提供的服务承诺有保障，审核时间控制和审核质量的保证措施具体明确且切实可行</w:t>
            </w:r>
            <w:r>
              <w:rPr>
                <w:rFonts w:hint="eastAsia"/>
                <w:highlight w:val="none"/>
              </w:rPr>
              <w:t>；</w:t>
            </w:r>
          </w:p>
        </w:tc>
        <w:tc>
          <w:tcPr>
            <w:tcW w:w="794" w:type="dxa"/>
            <w:noWrap w:val="0"/>
            <w:vAlign w:val="center"/>
          </w:tcPr>
          <w:p>
            <w:pPr>
              <w:rPr>
                <w:rFonts w:hint="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9" w:hRule="atLeast"/>
          <w:jc w:val="center"/>
        </w:trPr>
        <w:tc>
          <w:tcPr>
            <w:tcW w:w="0" w:type="auto"/>
            <w:vMerge w:val="continue"/>
            <w:noWrap w:val="0"/>
            <w:vAlign w:val="center"/>
          </w:tcPr>
          <w:p>
            <w:pPr>
              <w:rPr>
                <w:highlight w:val="none"/>
              </w:rPr>
            </w:pPr>
          </w:p>
        </w:tc>
        <w:tc>
          <w:tcPr>
            <w:tcW w:w="0" w:type="auto"/>
            <w:vMerge w:val="continue"/>
            <w:noWrap w:val="0"/>
            <w:vAlign w:val="center"/>
          </w:tcPr>
          <w:p>
            <w:pPr>
              <w:rPr>
                <w:highlight w:val="none"/>
              </w:rPr>
            </w:pPr>
          </w:p>
        </w:tc>
        <w:tc>
          <w:tcPr>
            <w:tcW w:w="0" w:type="auto"/>
            <w:noWrap w:val="0"/>
            <w:vAlign w:val="center"/>
          </w:tcPr>
          <w:p>
            <w:pPr>
              <w:jc w:val="center"/>
              <w:rPr>
                <w:szCs w:val="21"/>
                <w:highlight w:val="none"/>
              </w:rPr>
            </w:pPr>
            <w:r>
              <w:rPr>
                <w:szCs w:val="21"/>
                <w:highlight w:val="none"/>
              </w:rPr>
              <w:t>内部管理制度分（1</w:t>
            </w:r>
            <w:r>
              <w:rPr>
                <w:rFonts w:hint="eastAsia"/>
                <w:szCs w:val="21"/>
                <w:highlight w:val="none"/>
              </w:rPr>
              <w:t>5</w:t>
            </w:r>
            <w:r>
              <w:rPr>
                <w:szCs w:val="21"/>
                <w:highlight w:val="none"/>
              </w:rPr>
              <w:t>分）</w:t>
            </w:r>
          </w:p>
        </w:tc>
        <w:tc>
          <w:tcPr>
            <w:tcW w:w="0" w:type="auto"/>
            <w:noWrap w:val="0"/>
            <w:vAlign w:val="center"/>
          </w:tcPr>
          <w:p>
            <w:pPr>
              <w:jc w:val="center"/>
              <w:rPr>
                <w:szCs w:val="21"/>
                <w:highlight w:val="none"/>
              </w:rPr>
            </w:pPr>
            <w:r>
              <w:rPr>
                <w:szCs w:val="21"/>
                <w:highlight w:val="none"/>
              </w:rPr>
              <w:t>主观分</w:t>
            </w:r>
          </w:p>
        </w:tc>
        <w:tc>
          <w:tcPr>
            <w:tcW w:w="0" w:type="auto"/>
            <w:gridSpan w:val="2"/>
            <w:noWrap w:val="0"/>
            <w:vAlign w:val="center"/>
          </w:tcPr>
          <w:p>
            <w:pPr>
              <w:rPr>
                <w:szCs w:val="21"/>
                <w:highlight w:val="none"/>
              </w:rPr>
            </w:pPr>
            <w:r>
              <w:rPr>
                <w:szCs w:val="21"/>
                <w:highlight w:val="none"/>
              </w:rPr>
              <w:t>一档（3分）：有管理规范、内部制度、工作流程图及操作规程等</w:t>
            </w:r>
            <w:r>
              <w:rPr>
                <w:rFonts w:hint="eastAsia"/>
                <w:szCs w:val="21"/>
                <w:highlight w:val="none"/>
              </w:rPr>
              <w:t>，各项制度流程生搬硬套</w:t>
            </w:r>
            <w:r>
              <w:rPr>
                <w:szCs w:val="21"/>
                <w:highlight w:val="none"/>
              </w:rPr>
              <w:t>。</w:t>
            </w:r>
          </w:p>
          <w:p>
            <w:pPr>
              <w:rPr>
                <w:rFonts w:hint="eastAsia"/>
                <w:highlight w:val="none"/>
              </w:rPr>
            </w:pPr>
            <w:r>
              <w:rPr>
                <w:szCs w:val="21"/>
                <w:highlight w:val="none"/>
              </w:rPr>
              <w:t>二档（</w:t>
            </w:r>
            <w:r>
              <w:rPr>
                <w:rFonts w:hint="eastAsia"/>
                <w:szCs w:val="21"/>
                <w:highlight w:val="none"/>
              </w:rPr>
              <w:t>7</w:t>
            </w:r>
            <w:r>
              <w:rPr>
                <w:szCs w:val="21"/>
                <w:highlight w:val="none"/>
              </w:rPr>
              <w:t>分）：有管理规范、内部制度、工作流程图及操作规程等</w:t>
            </w:r>
            <w:r>
              <w:rPr>
                <w:rFonts w:hint="eastAsia"/>
                <w:szCs w:val="21"/>
                <w:highlight w:val="none"/>
              </w:rPr>
              <w:t>，各项制度流程基本符合实际，具备可操作性</w:t>
            </w:r>
            <w:r>
              <w:rPr>
                <w:rFonts w:hint="eastAsia"/>
                <w:highlight w:val="none"/>
              </w:rPr>
              <w:t>。</w:t>
            </w:r>
          </w:p>
          <w:p>
            <w:pPr>
              <w:rPr>
                <w:rFonts w:hint="eastAsia"/>
                <w:szCs w:val="21"/>
                <w:highlight w:val="none"/>
              </w:rPr>
            </w:pPr>
            <w:r>
              <w:rPr>
                <w:rFonts w:hint="eastAsia"/>
                <w:szCs w:val="21"/>
                <w:highlight w:val="none"/>
              </w:rPr>
              <w:t>三</w:t>
            </w:r>
            <w:r>
              <w:rPr>
                <w:szCs w:val="21"/>
                <w:highlight w:val="none"/>
              </w:rPr>
              <w:t>档（</w:t>
            </w:r>
            <w:r>
              <w:rPr>
                <w:rFonts w:hint="eastAsia"/>
                <w:szCs w:val="21"/>
                <w:highlight w:val="none"/>
              </w:rPr>
              <w:t>11</w:t>
            </w:r>
            <w:r>
              <w:rPr>
                <w:szCs w:val="21"/>
                <w:highlight w:val="none"/>
              </w:rPr>
              <w:t>分）：有管理规范、内部制度、工作流程图及操作规程等</w:t>
            </w:r>
            <w:r>
              <w:rPr>
                <w:rFonts w:hint="eastAsia"/>
                <w:szCs w:val="21"/>
                <w:highlight w:val="none"/>
              </w:rPr>
              <w:t>，各项制度流程较符合实际，可操作性较强</w:t>
            </w:r>
            <w:r>
              <w:rPr>
                <w:rFonts w:hint="eastAsia"/>
                <w:highlight w:val="none"/>
              </w:rPr>
              <w:t>。</w:t>
            </w:r>
          </w:p>
          <w:p>
            <w:pPr>
              <w:rPr>
                <w:szCs w:val="21"/>
                <w:highlight w:val="none"/>
              </w:rPr>
            </w:pPr>
            <w:r>
              <w:rPr>
                <w:rFonts w:hint="eastAsia"/>
                <w:szCs w:val="21"/>
                <w:highlight w:val="none"/>
              </w:rPr>
              <w:t>四</w:t>
            </w:r>
            <w:r>
              <w:rPr>
                <w:szCs w:val="21"/>
                <w:highlight w:val="none"/>
              </w:rPr>
              <w:t>档（1</w:t>
            </w:r>
            <w:r>
              <w:rPr>
                <w:rFonts w:hint="eastAsia"/>
                <w:szCs w:val="21"/>
                <w:highlight w:val="none"/>
              </w:rPr>
              <w:t>5</w:t>
            </w:r>
            <w:r>
              <w:rPr>
                <w:szCs w:val="21"/>
                <w:highlight w:val="none"/>
              </w:rPr>
              <w:t>分）：有管理规范、内部制度、工作流程图及操作规程等</w:t>
            </w:r>
            <w:r>
              <w:rPr>
                <w:rFonts w:hint="eastAsia"/>
                <w:szCs w:val="21"/>
                <w:highlight w:val="none"/>
              </w:rPr>
              <w:t>，各项制度流程符合实际，可操作性强</w:t>
            </w:r>
            <w:r>
              <w:rPr>
                <w:rFonts w:hint="eastAsia"/>
                <w:highlight w:val="none"/>
              </w:rPr>
              <w:t>。</w:t>
            </w:r>
          </w:p>
        </w:tc>
        <w:tc>
          <w:tcPr>
            <w:tcW w:w="794" w:type="dxa"/>
            <w:noWrap w:val="0"/>
            <w:vAlign w:val="center"/>
          </w:tcPr>
          <w:p>
            <w:pPr>
              <w:rPr>
                <w:rFonts w:hint="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65" w:hRule="atLeast"/>
          <w:jc w:val="center"/>
        </w:trPr>
        <w:tc>
          <w:tcPr>
            <w:tcW w:w="0" w:type="auto"/>
            <w:vMerge w:val="continue"/>
            <w:noWrap w:val="0"/>
            <w:vAlign w:val="center"/>
          </w:tcPr>
          <w:p>
            <w:pPr>
              <w:rPr>
                <w:szCs w:val="21"/>
                <w:highlight w:val="none"/>
              </w:rPr>
            </w:pPr>
          </w:p>
        </w:tc>
        <w:tc>
          <w:tcPr>
            <w:tcW w:w="0" w:type="auto"/>
            <w:vMerge w:val="continue"/>
            <w:noWrap w:val="0"/>
            <w:vAlign w:val="center"/>
          </w:tcPr>
          <w:p>
            <w:pPr>
              <w:rPr>
                <w:szCs w:val="21"/>
                <w:highlight w:val="none"/>
              </w:rPr>
            </w:pPr>
          </w:p>
        </w:tc>
        <w:tc>
          <w:tcPr>
            <w:tcW w:w="0" w:type="auto"/>
            <w:noWrap w:val="0"/>
            <w:vAlign w:val="center"/>
          </w:tcPr>
          <w:p>
            <w:pPr>
              <w:rPr>
                <w:rFonts w:hint="eastAsia"/>
                <w:szCs w:val="21"/>
                <w:highlight w:val="none"/>
              </w:rPr>
            </w:pPr>
            <w:r>
              <w:rPr>
                <w:rFonts w:hint="eastAsia"/>
                <w:szCs w:val="21"/>
                <w:highlight w:val="none"/>
              </w:rPr>
              <w:t>服务保障措施</w:t>
            </w:r>
            <w:r>
              <w:rPr>
                <w:szCs w:val="21"/>
                <w:highlight w:val="none"/>
              </w:rPr>
              <w:t>（1</w:t>
            </w:r>
            <w:r>
              <w:rPr>
                <w:rFonts w:hint="eastAsia"/>
                <w:szCs w:val="21"/>
                <w:highlight w:val="none"/>
              </w:rPr>
              <w:t>5</w:t>
            </w:r>
            <w:r>
              <w:rPr>
                <w:szCs w:val="21"/>
                <w:highlight w:val="none"/>
              </w:rPr>
              <w:t>分）</w:t>
            </w:r>
          </w:p>
        </w:tc>
        <w:tc>
          <w:tcPr>
            <w:tcW w:w="0" w:type="auto"/>
            <w:noWrap w:val="0"/>
            <w:vAlign w:val="center"/>
          </w:tcPr>
          <w:p>
            <w:pPr>
              <w:rPr>
                <w:szCs w:val="21"/>
                <w:highlight w:val="none"/>
              </w:rPr>
            </w:pPr>
            <w:r>
              <w:rPr>
                <w:szCs w:val="21"/>
                <w:highlight w:val="none"/>
              </w:rPr>
              <w:t>主观分</w:t>
            </w:r>
          </w:p>
        </w:tc>
        <w:tc>
          <w:tcPr>
            <w:tcW w:w="0" w:type="auto"/>
            <w:gridSpan w:val="2"/>
            <w:noWrap w:val="0"/>
            <w:vAlign w:val="center"/>
          </w:tcPr>
          <w:p>
            <w:pPr>
              <w:rPr>
                <w:szCs w:val="21"/>
                <w:highlight w:val="none"/>
              </w:rPr>
            </w:pPr>
            <w:r>
              <w:rPr>
                <w:szCs w:val="21"/>
                <w:highlight w:val="none"/>
              </w:rPr>
              <w:t>一档（</w:t>
            </w:r>
            <w:r>
              <w:rPr>
                <w:rFonts w:hint="eastAsia"/>
                <w:szCs w:val="21"/>
                <w:highlight w:val="none"/>
              </w:rPr>
              <w:t>3</w:t>
            </w:r>
            <w:r>
              <w:rPr>
                <w:szCs w:val="21"/>
                <w:highlight w:val="none"/>
              </w:rPr>
              <w:t>分）：</w:t>
            </w:r>
            <w:r>
              <w:rPr>
                <w:rFonts w:hint="eastAsia"/>
                <w:szCs w:val="21"/>
                <w:highlight w:val="none"/>
              </w:rPr>
              <w:t>供应商承诺的服务成果文件符合国家有关规范和标准，</w:t>
            </w:r>
            <w:r>
              <w:rPr>
                <w:rFonts w:hint="eastAsia"/>
                <w:highlight w:val="none"/>
              </w:rPr>
              <w:t>具有的保障措施、防控措施、廉洁措施，</w:t>
            </w:r>
            <w:r>
              <w:rPr>
                <w:szCs w:val="21"/>
                <w:highlight w:val="none"/>
              </w:rPr>
              <w:t>风险防范</w:t>
            </w:r>
            <w:r>
              <w:rPr>
                <w:rFonts w:hint="eastAsia"/>
                <w:szCs w:val="21"/>
                <w:highlight w:val="none"/>
              </w:rPr>
              <w:t>措施，各项措施生搬硬套，可行性差</w:t>
            </w:r>
            <w:r>
              <w:rPr>
                <w:szCs w:val="21"/>
                <w:highlight w:val="none"/>
              </w:rPr>
              <w:t>。</w:t>
            </w:r>
          </w:p>
          <w:p>
            <w:pPr>
              <w:rPr>
                <w:rFonts w:hint="eastAsia"/>
                <w:highlight w:val="none"/>
              </w:rPr>
            </w:pPr>
            <w:r>
              <w:rPr>
                <w:szCs w:val="21"/>
                <w:highlight w:val="none"/>
              </w:rPr>
              <w:t>二档（</w:t>
            </w:r>
            <w:r>
              <w:rPr>
                <w:rFonts w:hint="eastAsia"/>
                <w:szCs w:val="21"/>
                <w:highlight w:val="none"/>
              </w:rPr>
              <w:t>7</w:t>
            </w:r>
            <w:r>
              <w:rPr>
                <w:szCs w:val="21"/>
                <w:highlight w:val="none"/>
              </w:rPr>
              <w:t>分）：</w:t>
            </w:r>
            <w:r>
              <w:rPr>
                <w:rFonts w:hint="eastAsia"/>
                <w:szCs w:val="21"/>
                <w:highlight w:val="none"/>
              </w:rPr>
              <w:t>供应商承诺的服务成果文件符合国家有关规范和标准，</w:t>
            </w:r>
            <w:r>
              <w:rPr>
                <w:rFonts w:hint="eastAsia"/>
                <w:highlight w:val="none"/>
              </w:rPr>
              <w:t>具有的保障措施、防控措施、廉洁措施，</w:t>
            </w:r>
            <w:r>
              <w:rPr>
                <w:szCs w:val="21"/>
                <w:highlight w:val="none"/>
              </w:rPr>
              <w:t>风险防范</w:t>
            </w:r>
            <w:r>
              <w:rPr>
                <w:rFonts w:hint="eastAsia"/>
                <w:szCs w:val="21"/>
                <w:highlight w:val="none"/>
              </w:rPr>
              <w:t>措施，各项措施基本符合实际，可行性一般</w:t>
            </w:r>
            <w:r>
              <w:rPr>
                <w:rFonts w:hint="eastAsia"/>
                <w:highlight w:val="none"/>
              </w:rPr>
              <w:t>。</w:t>
            </w:r>
          </w:p>
          <w:p>
            <w:pPr>
              <w:rPr>
                <w:rFonts w:hint="eastAsia"/>
                <w:szCs w:val="21"/>
                <w:highlight w:val="none"/>
              </w:rPr>
            </w:pPr>
            <w:r>
              <w:rPr>
                <w:rFonts w:hint="eastAsia"/>
                <w:szCs w:val="21"/>
                <w:highlight w:val="none"/>
              </w:rPr>
              <w:t>三</w:t>
            </w:r>
            <w:r>
              <w:rPr>
                <w:szCs w:val="21"/>
                <w:highlight w:val="none"/>
              </w:rPr>
              <w:t>档（</w:t>
            </w:r>
            <w:r>
              <w:rPr>
                <w:rFonts w:hint="eastAsia"/>
                <w:szCs w:val="21"/>
                <w:highlight w:val="none"/>
              </w:rPr>
              <w:t>11</w:t>
            </w:r>
            <w:r>
              <w:rPr>
                <w:szCs w:val="21"/>
                <w:highlight w:val="none"/>
              </w:rPr>
              <w:t>分）：</w:t>
            </w:r>
            <w:r>
              <w:rPr>
                <w:rFonts w:hint="eastAsia"/>
                <w:szCs w:val="21"/>
                <w:highlight w:val="none"/>
              </w:rPr>
              <w:t>供应商承诺的服务成果文件符合国家有关规范和标准且能通过各审批或行业主管部门审批，</w:t>
            </w:r>
            <w:r>
              <w:rPr>
                <w:rFonts w:hint="eastAsia"/>
                <w:highlight w:val="none"/>
              </w:rPr>
              <w:t>具有的保障措施、防控措施、廉洁措施，</w:t>
            </w:r>
            <w:r>
              <w:rPr>
                <w:szCs w:val="21"/>
                <w:highlight w:val="none"/>
              </w:rPr>
              <w:t>风险防范</w:t>
            </w:r>
            <w:r>
              <w:rPr>
                <w:rFonts w:hint="eastAsia"/>
                <w:szCs w:val="21"/>
                <w:highlight w:val="none"/>
              </w:rPr>
              <w:t>措施，各项措施较符合实际，可行性较好</w:t>
            </w:r>
            <w:r>
              <w:rPr>
                <w:rFonts w:hint="eastAsia"/>
                <w:highlight w:val="none"/>
              </w:rPr>
              <w:t>。</w:t>
            </w:r>
          </w:p>
          <w:p>
            <w:pPr>
              <w:rPr>
                <w:szCs w:val="21"/>
                <w:highlight w:val="none"/>
              </w:rPr>
            </w:pPr>
            <w:r>
              <w:rPr>
                <w:rFonts w:hint="eastAsia"/>
                <w:szCs w:val="21"/>
                <w:highlight w:val="none"/>
              </w:rPr>
              <w:t>四</w:t>
            </w:r>
            <w:r>
              <w:rPr>
                <w:szCs w:val="21"/>
                <w:highlight w:val="none"/>
              </w:rPr>
              <w:t>档（1</w:t>
            </w:r>
            <w:r>
              <w:rPr>
                <w:rFonts w:hint="eastAsia"/>
                <w:szCs w:val="21"/>
                <w:highlight w:val="none"/>
              </w:rPr>
              <w:t>5</w:t>
            </w:r>
            <w:r>
              <w:rPr>
                <w:szCs w:val="21"/>
                <w:highlight w:val="none"/>
              </w:rPr>
              <w:t>分）：</w:t>
            </w:r>
            <w:r>
              <w:rPr>
                <w:rFonts w:hint="eastAsia"/>
                <w:szCs w:val="21"/>
                <w:highlight w:val="none"/>
              </w:rPr>
              <w:t>供应商承诺的服务成果文件符合国家有关规范和标准且能通过各审批或行业主管部门审批，</w:t>
            </w:r>
            <w:r>
              <w:rPr>
                <w:rFonts w:hint="eastAsia"/>
                <w:highlight w:val="none"/>
              </w:rPr>
              <w:t>具有的保障措施、防控措施、廉洁措施，</w:t>
            </w:r>
            <w:r>
              <w:rPr>
                <w:szCs w:val="21"/>
                <w:highlight w:val="none"/>
              </w:rPr>
              <w:t>风险防范</w:t>
            </w:r>
            <w:r>
              <w:rPr>
                <w:rFonts w:hint="eastAsia"/>
                <w:szCs w:val="21"/>
                <w:highlight w:val="none"/>
              </w:rPr>
              <w:t>措施，各项措施符合实际，可行性良好</w:t>
            </w:r>
            <w:r>
              <w:rPr>
                <w:rFonts w:hint="eastAsia"/>
                <w:highlight w:val="none"/>
              </w:rPr>
              <w:t>。</w:t>
            </w:r>
          </w:p>
        </w:tc>
        <w:tc>
          <w:tcPr>
            <w:tcW w:w="794" w:type="dxa"/>
            <w:noWrap w:val="0"/>
            <w:vAlign w:val="center"/>
          </w:tcPr>
          <w:p>
            <w:pPr>
              <w:rPr>
                <w:rFonts w:hint="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Cs w:val="21"/>
                <w:highlight w:val="none"/>
              </w:rPr>
            </w:pPr>
            <w:r>
              <w:rPr>
                <w:rFonts w:hint="eastAsia"/>
                <w:szCs w:val="21"/>
                <w:highlight w:val="none"/>
              </w:rPr>
              <w:t>3</w:t>
            </w: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jc w:val="center"/>
              <w:rPr>
                <w:szCs w:val="21"/>
                <w:highlight w:val="none"/>
              </w:rPr>
            </w:pPr>
            <w:r>
              <w:rPr>
                <w:szCs w:val="21"/>
                <w:highlight w:val="none"/>
              </w:rPr>
              <w:t>综合得分</w:t>
            </w:r>
          </w:p>
        </w:tc>
        <w:tc>
          <w:tcPr>
            <w:tcW w:w="0" w:type="auto"/>
            <w:gridSpan w:val="3"/>
            <w:tcBorders>
              <w:top w:val="single" w:color="auto" w:sz="4" w:space="0"/>
              <w:left w:val="single" w:color="auto" w:sz="4" w:space="0"/>
              <w:bottom w:val="single" w:color="auto" w:sz="4" w:space="0"/>
            </w:tcBorders>
            <w:noWrap w:val="0"/>
            <w:vAlign w:val="center"/>
          </w:tcPr>
          <w:p>
            <w:pPr>
              <w:rPr>
                <w:szCs w:val="21"/>
                <w:highlight w:val="none"/>
              </w:rPr>
            </w:pPr>
            <w:r>
              <w:rPr>
                <w:szCs w:val="21"/>
                <w:highlight w:val="none"/>
              </w:rPr>
              <w:t>=1+2（各项评分分值计算保留小数点后两位，小数点后第三位“四舍五入”）</w:t>
            </w:r>
          </w:p>
        </w:tc>
        <w:tc>
          <w:tcPr>
            <w:tcW w:w="794" w:type="dxa"/>
            <w:tcBorders>
              <w:top w:val="single" w:color="auto" w:sz="4" w:space="0"/>
              <w:left w:val="single" w:color="auto" w:sz="4" w:space="0"/>
              <w:bottom w:val="single" w:color="auto" w:sz="4" w:space="0"/>
            </w:tcBorders>
            <w:noWrap w:val="0"/>
            <w:vAlign w:val="center"/>
          </w:tcPr>
          <w:p>
            <w:pPr>
              <w:rPr>
                <w:szCs w:val="21"/>
                <w:highlight w:val="none"/>
              </w:rPr>
            </w:pPr>
          </w:p>
        </w:tc>
      </w:tr>
    </w:tbl>
    <w:p>
      <w:pPr>
        <w:jc w:val="right"/>
        <w:rPr>
          <w:rFonts w:hint="eastAsia"/>
          <w:lang w:val="en-US" w:eastAsia="zh-CN"/>
        </w:rPr>
      </w:pPr>
    </w:p>
    <w:p>
      <w:pPr>
        <w:jc w:val="right"/>
        <w:rPr>
          <w:rFonts w:hint="default" w:eastAsia="宋体"/>
          <w:lang w:val="en-US" w:eastAsia="zh-CN"/>
        </w:rPr>
      </w:pPr>
      <w:r>
        <w:rPr>
          <w:rFonts w:hint="eastAsia"/>
          <w:lang w:val="en-US" w:eastAsia="zh-CN"/>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5E01F563-FE75-4CC7-A7C6-B2CF97484EE1}"/>
  </w:font>
  <w:font w:name="方正小标宋简体">
    <w:panose1 w:val="02000000000000000000"/>
    <w:charset w:val="86"/>
    <w:family w:val="auto"/>
    <w:pitch w:val="default"/>
    <w:sig w:usb0="00000001" w:usb1="08000000" w:usb2="00000000" w:usb3="00000000" w:csb0="00040000" w:csb1="00000000"/>
    <w:embedRegular r:id="rId2" w:fontKey="{24CAAD53-4815-4E73-BC84-60D5415014DC}"/>
  </w:font>
  <w:font w:name="仿宋">
    <w:panose1 w:val="02010609060101010101"/>
    <w:charset w:val="86"/>
    <w:family w:val="auto"/>
    <w:pitch w:val="default"/>
    <w:sig w:usb0="800002BF" w:usb1="38CF7CFA" w:usb2="00000016" w:usb3="00000000" w:csb0="00040001" w:csb1="00000000"/>
    <w:embedRegular r:id="rId3" w:fontKey="{A1B15B56-6D32-41AE-8243-3DCFD5ABB557}"/>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BlMWVjMzZhOTYxYzQyNmY0YmI3MjNkZmU2YjZlY2EifQ=="/>
  </w:docVars>
  <w:rsids>
    <w:rsidRoot w:val="6BEF2397"/>
    <w:rsid w:val="07BA2B83"/>
    <w:rsid w:val="174216C0"/>
    <w:rsid w:val="3B0652BD"/>
    <w:rsid w:val="47743CE6"/>
    <w:rsid w:val="4C9F0989"/>
    <w:rsid w:val="6BEF2397"/>
    <w:rsid w:val="7CC16E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annotation reference"/>
    <w:autoRedefine/>
    <w:qFormat/>
    <w:uiPriority w:val="0"/>
    <w:rPr>
      <w:sz w:val="21"/>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71</TotalTime>
  <ScaleCrop>false</ScaleCrop>
  <LinksUpToDate>false</LinksUpToDate>
  <CharactersWithSpaces>0</CharactersWithSpaces>
  <Application>WPS Office_12.1.0.16704_F1E327BC-269C-435d-A152-05C5408002CA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2024-04-10T08:14:00Z</dcterms:created>
  <dc:creator>小河</dc:creator>
  <cp:lastModifiedBy>ㅤㅤㅤㅤㅤㅤㅤㅤㅤ</cp:lastModifiedBy>
  <dcterms:modified xsi:type="dcterms:W3CDTF">2024-04-17T08:45:40Z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2052-12.1.0.16704</vt:lpwstr>
  </property>
  <property fmtid="{D5CDD505-2E9C-101B-9397-08002B2CF9AE}" pid="3" name="ICV">
    <vt:lpwstr>43C49A3048B04B11AE9332AB6897B0E0_13</vt:lpwstr>
  </property>
</Properties>
</file>